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Recurso: </w:t>
      </w:r>
      <w:r>
        <w:t xml:space="preserve">RE 47.976</w:t>
      </w:r>
    </w:p>
    <w:p/>
    <w:p>
      <w:r>
        <w:t xml:space="preserve">ELEMENTO NECESSÁRIO PARA A CONFIGURAÇÃO DO DELITO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não ter havido fraude, não se configura o crime de emissão de cheque sem fundos. Referência: - Cód. Penal, artigo 171, VI RE 47.976, de 12.06.62 (D. de Just. de 19.09.63, p. 897); RHC 38.339, de 19.04.61; RHC 38.441, de 31.05.61; RHC 39.172, de 23.05.62 (D. de Just. de 03.01.63, p. 34); HC 38.744, de 15.12.61; HC 39.472, de 14.11.62; HC 39.650, de 24.04.63; HC 39.665, de 08.05.63 (D. de Just. de 01.08.63, p. 423). Aprovada em Sessão de 13-12-1963 - pág. 116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2026-07-28T02:21:24.659Z</dcterms:created>
  <dcterms:modified xsi:type="dcterms:W3CDTF">2026-07-28T02:21:24.659Z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