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Julgado em: </w:t>
      </w:r>
      <w:r>
        <w:t xml:space="preserve">07/08/1985</w:t>
      </w:r>
    </w:p>
    <w:p/>
    <w:p>
      <w:r>
        <w:t xml:space="preserve">USO DE TALONÁRIO FURTADO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Diante desse quadro, bem configurado está o crime de estelionato, a que alude o artigo 171, "caput", do Código Penal. - Por outro lado não era preciso que o apelante tivesse participado do furto do talonário dos cheques, para caracterizar o estelionato em causa. - Bastava, como fez, ter preenchido e emitido os cheques com a falsificação da assinatura da correntista proprietária dos mesmos e colocando-os em circulação. - De outra parte, tratando-se de estelionato no seu tipo fundamental, o ressarcimento do dano, ainda na fase policial, como ocorreu, não afasta a criminalidade do fato, funcionando apenas como atenuante (art. 48, IV, letra b, do Código Penal), consoante a jurisprudência, inclusive do Supremo Tribunal Federal. - A condenação do acusado era, pois, medida que realmente se impunha. - Daí porque, nega-se provimento ao recurso. Julgado em 08-08-1985 Jurisprudência Catarinense. 4º Trimestre de 1985 - Nº L - Pág. 369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tenha participado do furto do talonário, o fato do apelante ter recebido os cheques em branco, do outro acusado, preenchido-os, falsificado a assinatura da sua proprietária e colocado-os em circulação, configura o crime de estelionato na forma fundamental.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2026-10-26T01:59:54.443Z</dcterms:created>
  <dcterms:modified xsi:type="dcterms:W3CDTF">2026-10-26T01:59:54.443Z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