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Julgado em: </w:t>
      </w:r>
      <w:r>
        <w:t xml:space="preserve">07/08/1985</w:t>
      </w:r>
    </w:p>
    <w:p/>
    <w:p>
      <w:r>
        <w:t xml:space="preserve">USO DE TALONÁRIO FURTADO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Diante desse quadro, bem configurado está o crime de estelionato, a que alude o artigo 171, "caput", do Código Penal. - Por outro lado não era preciso que o apelante tivesse participado do furto do talonário dos cheques, para caracterizar o estelionato em causa. - Bastava, como fez, ter preenchido e emitido os cheques com a falsificação da assinatura da correntista proprietária dos mesmos e colocando-os em circulação. - De outra parte, tratando-se de estelionato no seu tipo fundamental, o ressarcimento do dano, ainda na fase policial, como ocorreu, não afasta a criminalidade do fato, funcionando apenas como atenuante (art. 48, IV, letra b, do Código Penal), consoante a jurisprudência, inclusive do Supremo Tribunal Federal. - A condenação do acusado era, pois, medida que realmente se impunha. - Daí porque, nega-se provimento ao recurso. Julgado em 08-08-1985 Jurisprudência Catarinense. 4º Trimestre de 1985 - Nº L - Pág. 369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tenha participado do furto do talonário, o fato do apelante ter recebido os cheques em branco, do outro acusado, preenchido-os, falsificado a assinatura da sua proprietária e colocado-os em circulação, configura o crime de estelionato na forma fundamental.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2026-07-27T23:39:35.299Z</dcterms:created>
  <dcterms:modified xsi:type="dcterms:W3CDTF">2026-07-27T23:39:35.299Z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