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ORDEM TRIBUTÁRIA</w:t>
      </w:r>
    </w:p>
    <w:p>
      <w:r>
        <w:rPr>
          <w:i/>
          <w:iCs/>
          <w:color w:val="666666"/>
        </w:rPr>
        <w:t xml:space="preserve">ESTELIONATO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ASSIS TOLEDO</w:t>
      </w:r>
    </w:p>
    <w:p/>
    <w:p>
      <w:r>
        <w:t xml:space="preserve">FALSIFICAÇÃO DE CHEQUE FURTADO — JUÍZO DO LOCAL DA OBTENÇÃO DA VANTAGEM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Ementário desta Egrégia Seção registra precedentes específicos, postos em que o uso de cheque furtado e materialmente falsificado constitui o estelionato típico, previsto no art. 171 caput do Código Penal, pelo que, em matéria de competência, não vem ao caso o local de sua apresentação ao sacado, senão que o local do negócio a que vinculado. - Assim se disse nos seguintes padrões, quer sob o título de cheque furtado, quer de cheque falsificado, ou ainda de cheque roubado: "PROCESSUAL PENAL. COMPETÊNCIA CHEQUE FURTADO. Tratando-se de vantagem ilícita obtida através de cheque furtado, competente para o processo e julgamento do feito é o juízo do local da infração. Conflito procedente." - CC 178, Rel. Min. ASSIS TOLEDO, in Ementário 1989/91, pág. 27. "PENAL PROCESSUAL. CONFLITO DE JURISDIÇÃO. ESTELIONATO COM O USO DE CHEQUE FALSIFICADO. No caso de estelionato, praticado mediante utilização de cheque falsificado, para pagamento de aquisição de bem, determina-se a competência pelo lugar em que foi realizado o negócio, relevo a circunstância de haver ou não fundos na conta." - CC 856, Rel. Min. DIAS TRINDADE, in Ementários 1989/91, pág. 133. "COMPETÊNCIA. CHEQUES ROUBADOS. ESTELIONATO. - Quem faz pagamento com cheque roubado comete crime de estelionato. (CP Art. 171, caput). Competência para processar e julgar é o Juízo onde ocorreu o fato. (Precedentes STJ, Terceira Seção). Conflito conhecido. Competência do Suscitado." - CC 1922, Rel. Min. EDSON VIDIGAL, in Ementário 1989/91, pág. 296. - Pelo exposto, conheço do conflito e declaro competente o suscitante - Juízo de direito da 2ª Vara de Pereira Barreto - SP Ac. de 21-05-1992 Arquivo do EMFOR - STJ/876 N. da Red.: Referência da Súmula STJ 48 (*). (*)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Tratando-se de vantagem ilícita obtida através de cheque furtado, competente para o processo e julgamento do feito é o juízo do local da infração. (Trecho do Acórdão)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2026-07-28T02:04:57.136Z</dcterms:created>
  <dcterms:modified xsi:type="dcterms:W3CDTF">2026-07-28T02:04:57.136Z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