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ESTELIONATO</w:t>
      </w:r>
    </w:p>
    <w:p/>
    <w:p>
      <w:r>
        <w:rPr>
          <w:b/>
          <w:bCs/>
        </w:rPr>
        <w:t xml:space="preserve">Relator: </w:t>
      </w:r>
      <w:r>
        <w:t xml:space="preserve">JOSÉ DANTAS</w:t>
      </w:r>
    </w:p>
    <w:p/>
    <w:p>
      <w:r>
        <w:t xml:space="preserve">FALSIFICAÇÃO DE CHEQUE FURTADO — JUÍZO DO LOCAL DA OBTENÇÃO DA  VANTAGEM ILÍCITA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aquisição de mercadorias com pagamento por cheque que fora furtado, e emitido mediante falsificação de assinatura do titular da conta, configura o estelionato em seu tipo fundamental, e não na modalidade prevista no item VI do art. 171 do Código Penal, determinando-se a competência pelo lugar em que o agente obtém a vantagem ilícita. Ac. de 02-04-1992 Rev. do Sup. Tribunal de Justiça - Abril de 1992 - Nº 32 - Pág. 45 NO MESMO SENTIDO: Conf. de Comp. nº 2.385-0 - SP, Sup. Tr. de Justiça, 3ª S., Relator: Ministro JOSÉ DANTAS, ac. 21-5-1992 ("EMFOR", Nº 535). EMFOR 541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2026-07-28T02:41:24.132Z</dcterms:created>
  <dcterms:modified xsi:type="dcterms:W3CDTF">2026-07-28T02:41:24.132Z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