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/>
    <w:p>
      <w:r>
        <w:t xml:space="preserve">ABSORÇÃO PELO PRIMEIRO — QUANDO 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Em semelhante caso, ou seja, crime de estelionato na forma tentada (art. 171, c/c o art. 14, II, do CP) e crime de falsificação de documento público (art. 297, do CP), assim decidiu a colenda Primeira Câmara Criminal, em ACÓRDÃO de lavra do eminente Des. NAURO COLLAÇO, na apelação criminal nº 27.105, de ...: "Se a falsificação dos documentos tem afinalidade de obter vantagem ilícita, mediante artifício, em prejuízo alheio, desaparece a ilicitude penal desse fato, porque ele se constitui em crime meio para a prática do crime de estelionato, e é por este absorvido". - Também esta Segunda Câmara Criminal, apreciando idêntica matéria, em apelação criminal nº 26.959, de Chapecó, de lavra da eminente Desembargadora THEREZA TANG, assim se pronunciou: (...) "Ora, acerca da matéria há várias correntes: a do concurso formal, preconizada na sentença; a que considera o estelionato absorvido pelo crime de falsum; a que considera haver concurso material de delito, e, finalmente, a desde longos anos adotada por este Tribunal que defende a absorção do falsum, crime meio, pelo estelionato, crime fim. - Falsificação de documento público e subsequente prática de estelionato com uso de falso. Absorção do primeiro crime que só serviu para obtenção da vantagem patrimonial que era o fim do agente (estelionato) (Jurisprudência Catarinense, vol. 11/12, pág. 458). No mesmo sentido, obra citada, volumes 21/484, 31/422; 35/482; 56/363". Na realidade, o crime de falso era apenas um meio para se obter uma vantagem ilícita. Ac. de 26-06-1992 Jurisprudência Catarinense - 1º e 2º Trim. de 1992 - Nº 70 - Pág. 439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Estelionato na modalidade tentada e falsificação de documento público. Absorção do crime meio - o falsum - pelo crime fim - o estelionato.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2026-10-26T03:07:12.884Z</dcterms:created>
  <dcterms:modified xsi:type="dcterms:W3CDTF">2026-10-26T03:07:12.884Z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