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01/10/1984</w:t>
      </w:r>
    </w:p>
    <w:p/>
    <w:p>
      <w:r>
        <w:t xml:space="preserve">CRIME PRATICADO CONTRA CRIANÇA — AUMENTO DA PENA BASE - DESCABIMENTO DE OUTRO AUMENTO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Vários julgados, tratando do estupro, onde há violência presumida, entendem inaplicável a agravante do art. 44, II, "i", do CP, porque a condição de criança é elemento do crime e funciona como qualificadora (RT 464/241, 523/374). Trata-se, à toda evidência de circunstância elementar do delito, que, consequentemente, impede a incidência da circunstância agravante em exame. "Se para a própria caracterização do crime considerou a menoridade da vítima, inaplicável a agravante de ter sido praticado contra criança" (RT 523/374). No mesmo sentido, os arestos contidos na (RT 528/318, 523/395, 345/397, 528/318 etc.). - Pode o julgador, considerando as consequências do delito, em decorrência da pouca idade da vítima, aumentar a pena-base, como lhe faculta o art. 42 do CP, mas não, como no caso, onde o mínimo já foi aumentado de um ano, aumentá-la, ainda, pela agravante em tela, o que se constitui num inegável "bis in idem". - Consequentemente, defere-se parcialmente o pedido, para cancelar a aludida agravante, e reduzir a pena a três anos de reclusão. ... . Julgado em 02-10-1984 Revista dos Tribunais. Abril, 1985 - Vol. 594 - Pág. 306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213 e 44, II, "i", do Código Penal de 1940. - Pode o julgador, considerando as consequências do delito praticado contra a criança, aumentar a pena-base, como lhe faculta o artigo 42 do Código Penal de 1940, mas não aumentá-la "ex vi" da agravante do artigo 44, II, "i" o que constituiria "bis in idem", por ser a mesma circunstância elementar do estupro praticado mediante violência presumida, em virtude de a idade da vítima ser inferior a 14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2026-07-28T04:27:20.484Z</dcterms:created>
  <dcterms:modified xsi:type="dcterms:W3CDTF">2026-07-28T04:27:20.484Z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