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>
      <w:r>
        <w:rPr>
          <w:b/>
          <w:bCs/>
        </w:rPr>
        <w:t xml:space="preserve">Julgado em: </w:t>
      </w:r>
      <w:r>
        <w:t xml:space="preserve">12/02/1984</w:t>
      </w:r>
    </w:p>
    <w:p/>
    <w:p>
      <w:r>
        <w:t xml:space="preserve">VIRGINDADE DA VÍTIMA — REQUISITO NÃO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Irrelevante para a caracterização ou descaracterização do estupro, a virgindade da ofendida pois "a virgindade não é requisito essencial para a tipificação do art. 213 do Código Penal. Tutela-se com a figura criminosa, a liberdade sexual da mulher, virgem ou não. Assim, ainda que se admitisse, para argumentar, que a ofendida já estava desvirginada quando manteve o primeiro coito com o apelante, o enquadramento típico deste não sofreria mudança alguma", consoante decidido pelo Egrégio Tribunal de Justiça de São Paulo (ALBERTO SILVA FRANCO, "et alli", Código Penal e sua interpretação jurisprudencial, São Paulo, Ed. Revista dos Tribunais 1980, volume IV, tomo 1º, pág. 213). - Em síntese: para os efeitos de caracterização do crime de estupro o companheiro da mãe da ofendida está equiparada ao pai; as declarações da ofendida está equiparada ao pai; as declarações da ofenbatórios, têm valor relevante em tema de crimes contra os costumes autorizando a prolação de um decreto condenatório; para a tipificação do art. 213 do Código Penal a virgindade não é requisito essencial, posto tutelar-se, com a figura criminosa, a liberdade sexual da mulher, virgem ou não. Julgado em 13-02-1984 Jurisprudência Catarinense. 1º Trimestre de 1984 - Nº XLIII - Pág. 465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tipificação do artigo 213 do Código Penal a virgindade não é requisito essencial, posto tutelar-se, com a figura criminosa, a liberdade sexual da mulher, virgem ou não.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2026-07-28T00:22:43.027Z</dcterms:created>
  <dcterms:modified xsi:type="dcterms:W3CDTF">2026-07-28T00:22:43.027Z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