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>
      <w:r>
        <w:rPr>
          <w:b/>
          <w:bCs/>
        </w:rPr>
        <w:t xml:space="preserve">Julgado em: </w:t>
      </w:r>
      <w:r>
        <w:t xml:space="preserve">12/02/1984</w:t>
      </w:r>
    </w:p>
    <w:p/>
    <w:p>
      <w:r>
        <w:t xml:space="preserve">VIRGINDADE DA VÍTIMA — REQUISITO NÃO ESSENCIAL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Irrelevante para a caracterização ou descaracterização do estupro, a virgindade da ofendida pois "a virgindade não é requisito essencial para a tipificação do art. 213 do Código Penal. Tutela-se com a figura criminosa, a liberdade sexual da mulher, virgem ou não. Assim, ainda que se admitisse, para argumentar, que a ofendida já estava desvirginada quando manteve o primeiro coito com o apelante, o enquadramento típico deste não sofreria mudança alguma", consoante decidido pelo Egrégio Tribunal de Justiça de São Paulo (ALBERTO SILVA FRANCO, "et alli", Código Penal e sua interpretação jurisprudencial, São Paulo, Ed. Revista dos Tribunais 1980, volume IV, tomo 1º, pág. 213). - Em síntese: para os efeitos de caracterização do crime de estupro o companheiro da mãe da ofendida está equiparada ao pai; as declarações da ofendida está equiparada ao pai; as declarações da ofenbatórios, têm valor relevante em tema de crimes contra os costumes autorizando a prolação de um decreto condenatório; para a tipificação do art. 213 do Código Penal a virgindade não é requisito essencial, posto tutelar-se, com a figura criminosa, a liberdade sexual da mulher, virgem ou não. Julgado em 13-02-1984 Jurisprudência Catarinense. 1º Trimestre de 1984 - Nº XLIII - Pág. 465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tipificação do artigo 213 do Código Penal a virgindade não é requisito essencial, posto tutelar-se, com a figura criminosa, a liberdade sexual da mulher, virgem ou não.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2026-10-26T04:37:35.738Z</dcterms:created>
  <dcterms:modified xsi:type="dcterms:W3CDTF">2026-10-26T04:37:35.738Z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