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ESTELIONATO</w:t>
      </w:r>
    </w:p>
    <w:p>
      <w:r>
        <w:rPr>
          <w:i/>
          <w:iCs/>
          <w:color w:val="666666"/>
        </w:rPr>
        <w:t xml:space="preserve">VENDA DE COISA ALHEIA COMO PRÓPRIA</w:t>
      </w:r>
    </w:p>
    <w:p/>
    <w:p/>
    <w:p>
      <w:r>
        <w:t xml:space="preserve">RESPONSABILIDADE DOS AGENTES COMO AUTORES E CO-AUTORES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Preso e autuado em flagrante, depois que a vítima o denunciou como um dos seus estupradores, o apelante, perante a autoridade policial, assumiu comprometedora postura silente, quando é certo que aquele que se vê injustamente acusado trata logo de proclamar a injustiça da acusação, quando convidado a falar sobre ela. - Em juízo, por outro lado, embora viesse a negar a prática de todos aqueles gestos insensatos, não recusou sua presença no local e foi intensamente incriminado pela pequena vítima, que, tal qual já fizera diante da autoridade policial, apontou-o, com precisão, segurança e sem desmentidos, como um dos que a estupraram naquela manhã, acrescentando, ainda, que foi violentada, na oportunidade, pelos três meliantes, um dos quais ainda a constrangeu a praticar felação. - Claro que os fatos não tiveram testemunhas a presenciá-los. Crimes dessa natureza são, rotineiramente, praticados na clandestinidade, às escondidas, presentes apenas os agentes ativo e passivo da infração, de sorte que na palavra da ofendida que se haverá de encontrar o melhor e mais preciso elemento indicador da autoria. - E, na medida em que seja a palavra da vítima segura, coerente, sem desmentidos sérios, e não se deparando com razão alguma para que viesse ela a denunciar inocentes, não existe fundamento legal ou lógico, para a recusa do único elemento de prova de que se dispõe para a elucidação da autoria. - Aqui, a vítima, que até então nada tinha contra o apelante, sobre ter evidenciado o estupro por insuspeito laudo de exame de corpo de delito realizado na mesma data dos fatos e que apontou o defloramento recente a que fora submetida, a vítima, repita-se, afastou qualquer incerteza a propósito da atuação do réu condenado. Confirmou ter sido possuída compulsoriamente por ele, enfatizando, outrossim, ter o réu colaborado para que os outros também a estuprassem e para que um deles a levasse a praticar felação. - Seguríssima, então, a prova da autoria, não é caso, tampouco, de se reconhecer a prática do crime único proclamado pela defesa. - Quem, após constranger a vítima a praticar consigo conjunção carnal, que a ela impõe mediante violência, ainda colabora para que terceiros repitam o mesmo gesto, subjugando e imobilizando a ofendida mediante emprego de força ou ameaça, claro que, sobre ser autor do estupro que caracterizou com seu primeiro gesto, ainda é co-autor do mesmo crime levado a efeito por seus parceiros. Tudo por força da regra muito clara contida no art. 29 do CP. E se um dos agentes também constrange a vítima a praticar posterior ato libidinoso diverso da conjunção carnal, há de ser co-autor, sem dúvida, também do crime previsto no art. 214. O qual, é claro, subsiste como delito autônomo, desde que, tal como aqui, não seja mero prolegômenos, simples fato antecedente ao estupro, mas a este sobrevenha como um plus desnecessário, não como condição daquele. - Corretíssima, então, a conclusão da sentença, seja no reconhecer a autoria induvidosa, seja no proclamar a caracterização de todos os delitos afirmados, o pequeno reparo que está a comportar diz respeito, tão-somente, ao quantum fixado para a majoração decorrente da continuidade delitiva bem vislumbrada entre os estup ros. - É que sobre vir inadequadamente justificado o aumento da metade eleito pelo juízo monocrático, como se trate de três crimes, o aumento a aplicar, segundo entendimento pretoriano consolidado, é de um quinto, o qual incidindo sobre a pena-base de 7 anos e 6 meses para o estupro resulta para esses crimes, em pena final de 9 anos de reclusão. A qual, por fim, somada aos 7 anos e 6 meses pelo atentado violento ao pudor, proporciona uma pena final de 16 anos e 6 meses de reclusão. - Diante do exposto, fica parcialmente provido o apelo, tão-somente para que se reduza a pena total do apelante para 16 anos e 6 meses de reclusão, mantida, no mais, a bem elaborada sentença apelada. Ac. de 02-12-1996 Revista dos Tribunais - Abril de 1997 - pág. 625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Quem, após constranger a vítima a praticar consigo conjunção carnal, que a ela impõe mediante violência, ainda colabora para que terceiros repitam o mesmo gesto, subjugando e imobilizando a ofendida mediante emprego de força ou ameaça, claro que, sobre ser autor do estupro que caracterizou com seu primeiro gesto, ainda é co-autor do mesmo crime levado a efeito por seus parceiros. Tudo por força da regra contida no art. 29 do CP. E se um dos agentes também constrange a vítima a praticar posterior ato libidinoso diverso da conjunção carnal, há de ser co-autor, sem dúvida, também do crime previsto no art. 214 do referido diploma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2026-10-26T04:39:44.282Z</dcterms:created>
  <dcterms:modified xsi:type="dcterms:W3CDTF">2026-10-26T04:39:44.282Z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