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ESTELIONATO</w:t>
      </w:r>
    </w:p>
    <w:p>
      <w:r>
        <w:rPr>
          <w:i/>
          <w:iCs/>
          <w:color w:val="666666"/>
        </w:rPr>
        <w:t xml:space="preserve">VENDA DE COISA ALHEIA COMO PRÓPRIA</w:t>
      </w:r>
    </w:p>
    <w:p/>
    <w:p/>
    <w:p>
      <w:r>
        <w:t xml:space="preserve">PRESUNÇÃO DE VIOLÊNCIA — EFEITOS SOBRE A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Merecem ressaltados os argumentos do ilustre e culto Procurador JOSÉ MARIA RIBEIRO, a comentar que, mesmo houvesse erros dos peritos, por eles, não se culparia, a vítima, contudo, escancaradamente, o laudo dos doutores comprova que ocorreu o recente rompimento do hímen, e "se houve ou não sinal de violência, verdadeira excrescência do decisum o certo é que houve o coito. É o que nos interessa, na violência ficta". - Acentuou o parecer que não se pode exigir "de uma criança de treze anos de idade que conte, com riqueza de detalhes, tudo o que lhe sucedeu, quando praticava o seu primeiro coito, com ruptura himenal". - Integrados na espécie os elementos do crime. - Recurso Provido. Ac. de 20-08-1988 Jurisprudência Mineira - Outubro a Dezembro de 1988 - Vol. 104 - Pág. 295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crime de estupro, se a vítima tinha menos de quatorze anos incapaz de consentimento ou de consentimento válido -, por se tratar de violência presumida, impõe-se a condenação do réu nas sanções do art. 213, combinado com o art. 224, letra "a", do Código Penal, mormente se a prova técnica aponta no sentido de cópula violenta.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2026-07-28T00:26:16.656Z</dcterms:created>
  <dcterms:modified xsi:type="dcterms:W3CDTF">2026-07-28T00:26:16.656Z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