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EXTINÇÃO DA PUNIBILIDADE</w:t>
      </w:r>
    </w:p>
    <w:p>
      <w:r>
        <w:rPr>
          <w:i/>
          <w:iCs/>
          <w:color w:val="666666"/>
        </w:rPr>
        <w:t xml:space="preserve">CONTRIBUIÇÕES PREVIDENCIÁRIAS</w:t>
      </w:r>
    </w:p>
    <w:p/>
    <w:p/>
    <w:p>
      <w:r>
        <w:t xml:space="preserve">ESPOSA BRASILEIRA OU FILHO BRASILEIRO — QUANDO É VEDADA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vedada a expulsão de estrangeiro casado com brasileira, ou que tenha filho brasileiro dependente de economia paterna. Referência: - Constituição Federal, art. 143. - Decreto-Lei nº 479 de 08de junho de 1938, art. 3º " b". HC 36.402, de 07.01.59 (Rev. Trim. Jurisp., v. 10, p. 446); HC 38.969, de 16.04.62. Súmula da Jurisprudência Predominante do Supremo Tribunal Federal - Aprovada em Sessão de 13-12-1963 - pág. 33 EMENTÁRIO FORENSE. Novembro, 1964. Ano XVI. Nº 192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2026-10-26T02:13:48.675Z</dcterms:created>
  <dcterms:modified xsi:type="dcterms:W3CDTF">2026-10-26T02:13:48.675Z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