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Julgado em: </w:t>
      </w:r>
      <w:r>
        <w:t xml:space="preserve">23/03/1987</w:t>
      </w:r>
    </w:p>
    <w:p/>
    <w:p>
      <w:r>
        <w:t xml:space="preserve">POSSIBILIDADE DE O LOCATÁRIO DEVOLVER O PRÉDIO EM SEIS MESES — QUANDO SE TORNOU DESNECESSÁRIA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necessidade de notificação prévia para propositura de ação de despejo que existia na legislação anterior não foi contemplada no presente diploma do inquilinato. - A Lei 6.649/79 instituiu um outro critério para melhor atender aos interesses do locatário nas hipóteses do artigo 52. - A regra é a do artigo 53, § 4º da referida Lei, isto é, &lt;&lt;se o locatário no prazo de 15 dias declarar nos autos que concorda com o pedido de desocupação do prédio, o Juiz homologará o acordo por sentença, na qual fixará o prazo de 6 meses, contados da citação, para desocupação, e imporá ao mesmo o ônus do pagamento das custas, fixando os honorários do advogado em vinte por cento do valor da causa. - Se, findo o prazo, o locatário houver desocupado o imóvel, ficará isento do pagamento das custas e honorários&gt;&gt;. - Seria, pois, a notificação prévia um bis in idem, data venia, desnecessário e sem qualquer amparo na Lei. - Aliás, a atual legislação do inquilinato nada mais fez do que repetir o Dec.-Lei 890/60 que revogou expressamente a Lei 4.494/64, onde a regra da notificação premonitória estava insculpida. - A norma do Código Civil que dispõe sobre o desfazimento de obrigações com prazo indeterminado só pode prevalecer nos casos não contemplados pela Lei especial que, aliás, como se demonstrou, é muito mais ampla e mais favorável ao locatário... . Julgado em 24-03-1987 Arquivo do Ementário Forense, TA/781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atual Lei do Inquilinato, Lei 6.649/79, repetindo norma do Decreto-lei 890/69, que revogou expressamente a Lei 4.494/69, adotou mecanismo muito mais amplo, que se destina ao resguardo dos interesses do locatário que pode devolver o prédio em 6 meses sem qualquer ônus (art. 53, § 4º da referida Lei). - A notificação premonitória seria, portanto um bis in idem desnecessário e sem respaldo da Legislação.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2026-07-28T02:07:27.413Z</dcterms:created>
  <dcterms:modified xsi:type="dcterms:W3CDTF">2026-07-28T02:07:27.413Z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