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Julgado em: </w:t>
      </w:r>
      <w:r>
        <w:t xml:space="preserve">22/12/1986</w:t>
      </w:r>
    </w:p>
    <w:p/>
    <w:p>
      <w:r>
        <w:t xml:space="preserve">DOCUMENTO PARTICULAR — EM QUE SE DISTINGUE DO USO DE DOCUMENTO PÚBLICO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certificado de conclusão de Curso de segundo grau, acompanhado de um histórico escolar, tudo expedido pelo Colégio Campo Grande. Segundo esclarece a Diretora do Colégio, o modelo impresso do histórico não está em uso, os nomes do diretor e do secretário, são pessoas desconhecidas, os carimbos apostos não correspondem aos originais nem o endereço do colégio é verdadeiro. - Advertem os doutos que a distinção entre documento público e documento particular há de efetuar-se segundo a condição do agente que o expede. Já diziam os antigos que particular é o documento "quod auctoritate privata a privatis est compositum". - Elucida HUNGRIA que o documento particular "é formado sem intervenção de oficial ou funcionário público ou de pessoa investida de fé pública". - "Coments. CP, vol. 9º, nº 116. - Na verdade, em matéria penal, obtém-se o conceito de documento particular por exclusão: é todo aquele que não se identifica como público por essência ou por equiparação. - É evidente que o certificado em causa, assinado por simples particular, na falsa condição de diretor de colégio particular não possa ser considerado documento público. - Assim, o crime praticado pelo Apelante há de ser capitulado no art. 304 c/c 298 do Código Penal. Em consequência a pena reclusiva deve reduzir-se a um ano, que é o mínimo cominado para o art. 298. - Nenhuma alteração merece a pena pecuniária. - Da mesma forma há de manter-se o sursis, corretamente concedido. - Embora não tenha recorrido o co-réu, a nova capitulação do delito a ele deve também estender-se. Julgado em 23-12-1986 Arquivo do Ementário Forense,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efeitos penais, o documento será público ou particular, segundo a condição da pessoa que o tenha firmado. Um certificado de conclusão de curso, assinado por particular, sem qualquer vínculo com a Administração, há de ser considerado documento particular.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2026-07-27T23:31:46.743Z</dcterms:created>
  <dcterms:modified xsi:type="dcterms:W3CDTF">2026-07-27T23:31:46.743Z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