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FALSIDADE IDEOLÓGICA</w:t>
      </w:r>
    </w:p>
    <w:p>
      <w:r>
        <w:rPr>
          <w:i/>
          <w:iCs/>
          <w:color w:val="666666"/>
        </w:rPr>
        <w:t xml:space="preserve">INQUÉRITO POLICIAL</w:t>
      </w:r>
    </w:p>
    <w:p/>
    <w:p>
      <w:r>
        <w:rPr>
          <w:b/>
          <w:bCs/>
        </w:rPr>
        <w:t xml:space="preserve">Julgado em: </w:t>
      </w:r>
      <w:r>
        <w:t xml:space="preserve">25/03/1985</w:t>
      </w:r>
    </w:p>
    <w:p/>
    <w:p>
      <w:r>
        <w:t xml:space="preserve">SE BASTA A DECLARAÇÃO FALSA PARA CONFIGURAR O DELITO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Ora, já decidiu o Tribunal Paulista: "O crime do art. 299 do Código Penal é de tipicidade normal, exigindo o que na doutrina tradicional de denomina "dolo específico". Logo, se o fato, em si, não se prestava a tais fins, no elenco da imputação, bem é de ver-se que se tornou inócuo sob o ponto de vista penal, porque a norma do art. 299 só cuida do fato, em si, juridicamente relevante" (RT 462/324). - É bem o caso dos autos, de vez que a declaração, apesar de adulterada, não podia realmente tipificar o crime de falsidade ideológica. - Não é demais lembrar que não basta a declaração falsa para configurar o delito do artigo 299. É necessário que o comportamento do agente possa prejudicar direito, criar obrigações, ou alterar a verdade sobre o fato juridicamente relevante, o que não ocorreu no caso. - Daí porque, dá-se provimento ao recurso para absolver o réu. Julgado em 26-03-1985 Jurisprudência Catarinense - 48 - Pág. 441 EMFOR 448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basta a declaração falsa para caracterizar o delito previsto no artigo 299, do Código Penal (falsidade ideológica). É necessário que o comportamento do agente tenha por escopo prejudicar direito, criar obrigação ou alterar a verdade sobre fato juridicamente relevante, o que não ocorreu no caso.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2026-10-26T03:06:55.101Z</dcterms:created>
  <dcterms:modified xsi:type="dcterms:W3CDTF">2026-10-26T03:06:55.101Z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