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/>
    <w:p>
      <w:r>
        <w:t xml:space="preserve">CONCURSO MATERIAL — QUANDO NÃO DEVE SER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sessão de 14 de maio último, esta Turma apreciou o RHC nº 62.941, relator o Ministro ALDIR PASSARINHO, em que idêntica questão foi suscitada. O presente recebeu do relator esta Súmula: "Processual penal. Fiança. Pena superior a dois anos. Concurso material. Dispondo o art. 323 do Código de Processo Penal que a fiança não será concedida se a pena privativa de liberdade foi fixada em mais de dois anos, não há de ser a fiança admitida se houve concurso material, e a soma das penas excede de muito aquele tempo." - Essa é a inteligência do art. 323 do estatuto adjetivo que me parece correta e ajustada à espécie. Lembro, com o Ministro ALDIR PASSARINHO, que, "(...) não se pode conceber (...) que, sendo praticado mais de um crime, exatamente quando a conduta delituosa do paciente se mostra em grau mais elevado, se venha a considerar cada crime isoladamente para efeito da concessão da fiança.". - Apoiado no precedente, indefiro a ordem de "Habeas Corpus". Ac. de 04-10-1985 Revista Trimestral de Jurisprudência. Junho de 1986 - Vol. 116 - Pág. 953.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concede fiança ao réu que responde por crime em concurso material, cujas penas mínimas somadas excedam dois anos de privação de liberdade.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2026-10-26T06:01:18.592Z</dcterms:created>
  <dcterms:modified xsi:type="dcterms:W3CDTF">2026-10-26T06:01:18.592Z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