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CONCURSO MATERIAL</w:t>
      </w:r>
    </w:p>
    <w:p>
      <w:r>
        <w:rPr>
          <w:i/>
          <w:iCs/>
          <w:color w:val="666666"/>
        </w:rPr>
        <w:t xml:space="preserve">ESTUPRO E ATENTADO VIOL AO PUDOR</w:t>
      </w:r>
    </w:p>
    <w:p/>
    <w:p/>
    <w:p>
      <w:r>
        <w:t xml:space="preserve">LAVRATURA POR AUTORIDADE DE CIRCUNSCRIÇÃO DIVERSA — NULIDADE REPELIDA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fato de o auto de prisão em flagrante ter sido lavrado em local diverso daquele em que efetuada a prisão deixa de constituir nulidade, sabido que os policiais não exercem função jurisdicional. - De outro modo, se a prisão em flagrante de um dos acusados padecia de nulidade, a prisão cautelar por outro título - decreto de prisão preventiva - devidamente fundamentado é bastante para afastar o defeito. Ac. de 10-11-1993 Rev. do Sup. Tribunal de Justiça - Julho de 1994 - Nº 59 - Pág. 97 EMFOR 562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lavratura de auto de prisão em flagrante em local diverso daquele onde foi efetuada a prisão nada tem de ilegal. Policial não exerce função jurisdicional. O decreto de prisão preventiva posterior, bem fundamentado, não precisava dizer que considerava nula a prisão em flagrante.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2026-07-27T23:29:36.674Z</dcterms:created>
  <dcterms:modified xsi:type="dcterms:W3CDTF">2026-07-27T23:29:36.674Z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