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FALSIFICAÇÃO DE DOCUMENTO PÚBLICO</w:t>
      </w:r>
    </w:p>
    <w:p>
      <w:r>
        <w:rPr>
          <w:i/>
          <w:iCs/>
          <w:color w:val="666666"/>
        </w:rPr>
        <w:t xml:space="preserve">PRINCÍPIO DO "IN DUBIO PRO REU"</w:t>
      </w:r>
    </w:p>
    <w:p/>
    <w:p/>
    <w:p>
      <w:r>
        <w:t xml:space="preserve">INVERSÃO DO ÔNUS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: - Incidiu o apelante, dessarte, nas sanções do furto, pois, sob diverso ângulo, também não prosperaria a sua narrativa, porquanto para haver apropriação de coisa achada e não furto, escreve HUNGRIA, "é preciso que o agente tenha razão (fundada no "id quod plerunque accidit") que o certifique de que a coisa está perdida. Se há casos em que o perdimento é evidente "prima facie", outros há em que é manifesto o não-perdimento" (cf. Comentários ao Código Penal, Rio, Forense, 1958, 2ª ed., v. VII, pág. 154, nº 71). - Ora, manifesto, pelo "id quod plerumque accidit", o não-perdimento de um revólver em plena calçada do logradouro público, destrói-se, por si só, a justificativa apresentada pelo apelante, e, por conseguinte, compromete-o a posse do revólver, inculcando-lhe a presunção da autoria de furto (RT 656/303). Ac. de 23-04-1992 Revista dos Tribunais - Fevereiro de 1993 - Vol. 688 - Pág. 334 EMFOR 551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tema de furto, a apreensão da coisa subtraída em poder do acusado gera a presunção de sua responsabilidade e, invertendo-se o ônus da prova, impõe-se-lhe justificação inequívoca. A justificação dúbia e inverossímil reforçada pelos maus antecedentes do agente e pela inexistência de prova em desfavor do lesado, autoriza o decreto condenatório.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2026-07-27T23:54:19.497Z</dcterms:created>
  <dcterms:modified xsi:type="dcterms:W3CDTF">2026-07-27T23:54:19.497Z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