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>
      <w:r>
        <w:rPr>
          <w:b/>
          <w:bCs/>
        </w:rPr>
        <w:t xml:space="preserve">Recurso: </w:t>
      </w:r>
      <w:r>
        <w:t xml:space="preserve">Recurso Especial 29.088-4/</w:t>
      </w:r>
    </w:p>
    <w:p>
      <w:r>
        <w:rPr>
          <w:b/>
          <w:bCs/>
        </w:rPr>
        <w:t xml:space="preserve">Relator: </w:t>
      </w:r>
      <w:r>
        <w:t xml:space="preserve">SYDNEY SANCHES</w:t>
      </w:r>
    </w:p>
    <w:p/>
    <w:p>
      <w:r>
        <w:t xml:space="preserve">QUANDO NÃO SE APLICA 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Qual acentuado no relatório, resume-se a tese recursal quanto à inaplicabilidade da causa de diminuição prevista no § 2º do art. 155 do Código Penal em se tratando de furto onde reconhecida a qualificadora do inciso IV do § 4º da mesma figura. - Tive a oportunidade de manifestar-me sobre o tema há poucos dias, em voto de desempate havido no julgamento do Recurso Especial nº 29.088-4/SP. - Comungo, desta sorte, com a tese abraçada pelo recorrente e adotada no parecer ministerial, à vista da "tranqüila jurisprudência do Supremo Tribunal Federal no sentido de não se aplicar o § 2º, do art. 155 do Código Penal, nos casos de furto qualificado" (Recurso Extraordinário Criminal nº 114.894-SP, Rel. Min. SYDNEY SANCHES, in RTJ 128/397), jurisprudência que guarda uniformidade desde os tempos do Tribunal Federal de Recursos. - Comprovado o dissídio ..., conheço e dou provimento ao recurso, para reformar parcialmente a sentença e excluir a concessão do privilégio de que trata o § 2º, do art. 155 do Código Penal. Mantendo a condenação de dois (2) anos de reclusão e dez dias-multa, cabendo ao Juiz fixar o regime de cumprimento de pena e a concessão ou não de sursis. - É como voto. Ac. de 27-04-1993 VENCIDO O MINISTRO VICENTE CERNICCHIARO Rev. do Sup. Tribunal de Justiça - Novembro de 1993 - Nº 51 - Pág. 283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inaplicável a diminuição de pena prevista no § 2º do art. 155 do Código Penal, em se tratando de furto onde reconhecida a qualificadora do inciso IV do § 4º, da mesma figura.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2026-07-28T00:25:18.786Z</dcterms:created>
  <dcterms:modified xsi:type="dcterms:W3CDTF">2026-07-28T00:25:18.786Z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