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14/05/1987</w:t>
      </w:r>
    </w:p>
    <w:p/>
    <w:p>
      <w:r>
        <w:t xml:space="preserve">CASO DE RECURSO QUE NÃO PODE SER SUBSTITUÍDO POR PEDIDO ORIGINÁRIO AO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"habeas corpus" não é de ser conhecido, posto que na conformidade do disposto no art. 119, II, alínea "c", da Constituição Federal, não cabe o recurso ser substituído por pedido originário e, no caso, já anterior "habeas corpus" fora julgado sobre a mesma questão, pelo C. Tribunal de Justiça. - É de observar que se demora na prolação contínua, o coator não é o C. Tribunal de Justiça, mas sim o Juiz Criminal de 1ª Instância, pelo que, então, poderá voltar o impetrante ao Tribunal de Justiça, com nova impetração, pois se o fundamento é o da demora na prisão é óbvio que o pedido poderá ser renovado. - De qualquer sorte, a competência não é desta Corte. - Pelo exposto, não conheço do pedido. Julgado em 15-05-1987 Arquivo do STF - DJ 05-06-87 - Ementário nº 1.464-2 Arquivo do EMFOR, STF/58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admitir-se "habeas corpus" originário perante o S.T.F em substituição a recurso, ante a regra do art. 119, II, alínea "c",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2026-10-26T05:42:26.247Z</dcterms:created>
  <dcterms:modified xsi:type="dcterms:W3CDTF">2026-10-26T05:42:26.247Z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