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09/12/1985</w:t>
      </w:r>
    </w:p>
    <w:p/>
    <w:p>
      <w:r>
        <w:t xml:space="preserve">EXPEDIÇÃO DE PORTARIA SOLICITADA POR JUIZ — TRIBUNAL DE ALÇADA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e como assinalou o v. acórdão, o MM. juiz "limitou-se a, atendendo cota do Representante do Ministério Público, determinar a remessa de peças de sindicância para a Autoridade Policial para que esta instaurasse o procedimento contravencional". - Deste modo, se tem que o MM. Juiz, embora atendendo a requerimento do MP, solicitou que a autoridade policial expedisse a Portaria para instauração do procedimento sumário "para a aplicação da penalidade prevista na Lei Contravencional contra os pais do menor". - Não resta dúvida, portanto, que a determinação do MM. Juiz o coloca como autoridade coatora, segundo a jurisprudência que veio a firmar-se nesta Corte. - Pelo exposto, dou provimento parcial ao recurso, afim de que o C. Tribunal de Alçada Criminal de São Paulo conheça do "habeas corpus" e o decida, como for de direito. Julgado em 10-12-1985 Revista Trimestral de Jurisprudência. Vol. 114 - Pág. 99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Passa à condição de autoridade coatora o juiz que solicita a autoridade policial a expedição de Portaria para a instauração de procedimento sumário, para a aplicação da penalidade prevista na Lei Contravencional contra os pais do menor, sendo, portanto, da competência do Tribunal de Alçada o julgamento do "habeas corpus"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2026-10-26T02:20:03.027Z</dcterms:created>
  <dcterms:modified xsi:type="dcterms:W3CDTF">2026-10-26T02:20:03.027Z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