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/>
    <w:p>
      <w:r>
        <w:t xml:space="preserve">DECLARAÇÃO DE EXTINÇÃO DE  PUNIBILIDADE — MEIO IDÔNEO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opção do interessado pelo remédio heróico lhe acarreta, porém, o ônus de provar a liquidez e a certeza de seu direito à prescrição, inclusive no que tange à incorrência de qualquer causa interruptiva" (TACrimSP - HC, rel. SILVA FRANCO, JTA CrimSP 50/119). Ac. de 20-02-1991 Revista dos Tribunais - Set. de 1991 - Vol. 671 - Pág. 319. EMFOR 525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habeas corpus é meio idôneo para que seja declarada extinta a punibilidade de fato criminoso em virtude da prescrição, quer ela se refira à pretensão punitiva estatal, quer diga respeito ao título penal executório.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2026-07-28T01:51:22.907Z</dcterms:created>
  <dcterms:modified xsi:type="dcterms:W3CDTF">2026-07-28T01:51:22.907Z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