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HABEAS CORPUS</w:t>
      </w:r>
    </w:p>
    <w:p>
      <w:r>
        <w:rPr>
          <w:i/>
          <w:iCs/>
          <w:color w:val="666666"/>
        </w:rPr>
        <w:t xml:space="preserve">EXAME DE SANIDADE MENTAL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PEDIDO DE MODIFICAÇÃO DO REGIME DE  CUMPRIMENTO DA PENA —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dúvida nenhuma de que o venerando acórdão, a meu ver agiu com correção ao não conhecer da impetração, uma vez que, na realidade tratava-se de matéria incabível de ser dirimida no restrito campo do habeas corpus. Ac. de 22-04-1992 DJ de 11-5-1992 Arquivo do EMFOR - STJ/744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âmbito restrito do habeas corpus não se presta para atender pedido de modificação do regime de cumprimento da pena, pois depende de prova complexa a ser apreciada no juízo das execuções, conforme critérios determinados pela Lei Substantiva Penal e pela Lei das Execuções Penais.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2026-07-28T02:54:08.007Z</dcterms:created>
  <dcterms:modified xsi:type="dcterms:W3CDTF">2026-07-28T02:54:08.007Z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