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/>
    <w:p>
      <w:r>
        <w:t xml:space="preserve">DEMORA DECORRENTE DA PLURALIDADE DE RÉUS E VÍTIMAS — INOCORRÊNCIA DE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prazos do Código de Processo Penal, por efeito até do que dispõem seus arts 403 e 798, parágrafo 3º não são inexoravelmente fatais. No julgamento, aliás, pela Câmara (3-4-91), do HC 104.976-3, de Taubaté, prevaleceu ponto de vista refletido na seguinte ementa: "Processo crime - Atraso - Força Maior - Tratando-se de feito complexo, com pluralidade de réus e várias vítimas e testemunhas, é justificável o atraso na sua conclusão, diante da impossibilidade de a autoridade apontada como coatora cumprir rigorosamente o prazo - Incidência da regra dos arts. 403 e 798 parágrafo 3º do CPP - Constrangimento ilegal inocorrente - Habeas Corpus denegado por maioria de votos". - Assim entendido, ou seja, que nem o império da lei se submete à fatalidade dos prazos, perfeitamente razoável concluir-se que o mesmo ocorre com o império das decisões judiciais. Ac. de 26-02-1992 Rev. dos Tribunais - Janeiro de 1993 - Vol. 687 - Pág. 286.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excesso de prazo só legitima a concessão da ordem de habeas corpus quando injustificado, não assim se a demora resulta de uma razão plausível.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2026-10-26T02:17:44.046Z</dcterms:created>
  <dcterms:modified xsi:type="dcterms:W3CDTF">2026-10-26T02:17:44.046Z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