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Julgado em: </w:t>
      </w:r>
      <w:r>
        <w:t xml:space="preserve">12/12/1984</w:t>
      </w:r>
    </w:p>
    <w:p/>
    <w:p>
      <w:r>
        <w:t xml:space="preserve">EXCESSO DE PRAZO — SE AUTORIZA A NEGATIVA DE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aresto impugnado deixou de conhecer da impetração, afirmando tratar-se de pedido reiterado. Ocorre que a alegação de excesso de prazo, renovada em "habeas corpus", não autoriza a negativa de conhecimento. O excesso de prazo para término do sumário de culpa constitui "situação permanente que pode dar ensejo à reiteração de pedidos sem que os subsequentes possam ser considerados mera repetição do primeiro. É que, com o decurso do tempo, o excesso de prazo resulta transformado e acrescido". Assim decidiu a Primeira Turma deste Tribunal do RHC nº 56.161 - MG, Relator o Ministro SOARES MUÑOZ. - Semelhante orientação me parece rigorosamente exata. Provejo, assim, o recurso ordinário, para conceder a ordem nos termos do parecer da Procuradoria-Geral. Julgado em 13-12-1984 Revista Trimestral de Jurisprudência. Junho, 1985 - Vol. 112 - Pág. 1.109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excesso de prazo, renovada em "habeas corpus", não autoriza a negativa de conhecimento da ordem.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2026-07-28T04:27:14.710Z</dcterms:created>
  <dcterms:modified xsi:type="dcterms:W3CDTF">2026-07-28T04:27:14.710Z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