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>
      <w:r>
        <w:rPr>
          <w:b/>
          <w:bCs/>
        </w:rPr>
        <w:t xml:space="preserve">Julgado em: </w:t>
      </w:r>
      <w:r>
        <w:t xml:space="preserve">22/05/1986</w:t>
      </w:r>
    </w:p>
    <w:p/>
    <w:p>
      <w:r>
        <w:t xml:space="preserve">CORREÇÃO DE VÍCIOS ESSENCIAIS DO PROCESSO — MEIO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propõe a solução adequada à espécie. - Com efeito, o habeas corpus é meio idôneo para corrigir vícios do processo, mesmo que já tenha havido sentença trânsita em julgado. - Não procede, dessarte, o fundamento prevalente no acórdão impugnado para desconsiderar o remédio heróico. Julgado em 23-05-1986 Revista Trimestral de Jurisprudência. Vol. 119 (Fevereiro 87) - Pág. 650 NO MESMO SENTIDO: Hab. Corpus nº 61.715 - RJ, STF, 2ª T. Relator: Ministro FRANCISCO REZEK, ac. de 13-03-1984, in &lt;&lt;EMENTÁRIO FORENSE&gt;&gt;, Nº 436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é meio idôneo para corrigir vícios essenciais do processo, mesmo após a sentença trânsita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2026-07-28T02:33:44.929Z</dcterms:created>
  <dcterms:modified xsi:type="dcterms:W3CDTF">2026-07-28T02:33:44.929Z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