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Relator: </w:t>
      </w:r>
      <w:r>
        <w:t xml:space="preserve">ENÉAS MACHADO COTA</w:t>
      </w:r>
    </w:p>
    <w:p>
      <w:r>
        <w:rPr>
          <w:b/>
          <w:bCs/>
        </w:rPr>
        <w:t xml:space="preserve">Julgado em: </w:t>
      </w:r>
      <w:r>
        <w:t xml:space="preserve">20/05/1985</w:t>
      </w:r>
    </w:p>
    <w:p/>
    <w:p>
      <w:r>
        <w:t xml:space="preserve">IMPETRAÇÃO POR ESSE MEIO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 o "Habeas Corpus" de ação destinada a fazer cessar, de modo imediato a qualquer constrangimento ilegal ou ameaça à liberdade de locomoção, sem dúvida, poderá ser requerida por telegrama. - Todavia, embora, a ordem, que em razão do caráter venha ser impetrada através deste expediente (telegrama), deverá ser requerida de forma explícita, a fim de que sejam fornecidos os elementos necessários para que se possa decidir a contento, para tanto embora sinteticamente deve conter os requisitos exigidos pelo art. 654, § 1º do Código de Processo Penal e a assinatura do impetrante deverá ser autenticada. - Dentre os requisitos supramencionados inquestionavelmente a espécie de constrangimento e em se tratando de ameaça as razões que levam o paciente a fundar seus termos, são de importância capital para que possa aquilatar a veracidade ou não do pedido. - "In casu", o impetrante requereu a ordem através de telegrama, onde além de faltar a autenticação de firma do signatário, não esclareceu qual a razão do pedido, se quer comentou se estaria sofrendo constrangimento, muito menos no que consiste tal ilicitude. - Com estas considerações não havendo sido preenchidos os requisitos legais indispensáveis, previstos no mencionado artigo 654, § 1º do CPP não vejo como possa conceder a ordem pretendida, razão por que não conheço do pedido, sem prejuízo de que outro venha a ser formulado com atendimento das determinações legais concernentes. Julgado em 21-05-1985 Revista do Tribunal Federal de Recursos - nº 133 - Pág. 333 NO MESMO SENTIDO: Hab. Corpus nº 10.043, Tr. Just. Rio de Janeiro - 2ª C, Relator: ENÉAS MACHADO COTA, ac. de 12-02-1985, "in" "EMFOR, Nº 442, em que consta que a autenticação da assinatura do impetrante deve ser declarada pela estação expedidora.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o "Habeas Corpus" de ação destinada a fazer cessar de modo imediato todo e qualquer constrangimento ilegal ou ameaça à liberdade de locomoção, sem dúvida, poderá ser requerida por telegrama. - Todavia, embora a ordem, que em razão do caráter, venha ser impetrada através deste expediente, esta, há, que preencher, necessariamente os requisitos do art. 654, § 1º do CPP e a firma do impetrante deverá ser autenticada, condições "sine qua non" para o seu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2026-10-26T03:24:26.980Z</dcterms:created>
  <dcterms:modified xsi:type="dcterms:W3CDTF">2026-10-26T03:24:26.980Z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