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GOULART SOBRINHO</w:t>
      </w:r>
    </w:p>
    <w:p/>
    <w:p>
      <w:r>
        <w:t xml:space="preserve">EXISTÊNCIA DE DESENTENDIMENTO OU INIMIZADE ENTRE RÉU E VÍTIMA — EXCLUSÃO DA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Creio que a falta de discussão não induz à compreensão de motivo fútil. Poderia ensejar qualificadoras como a surpresa, traição etc., não motivo fútil. - Mas, afinal, qual o móvel identificado na instrução criminal? Consta que, na véspera dos fatos, a vítima J. A. teria se envolvido numa briga com um irmão do recorrente de nome I. , e da briga saiu em vantagem. - O recorrente teria ido tirar satisfações, ou mesmo vingar-se, partindo logo para agressão homicida. Havia, pois, desavença séria e recente entre a vítima e I., irmão do recorrente J. do C. Por isso mesmo J. estaria andando armado. "O motivo fútil não se confunde com o motivo injusto. Havendo animosidade, desentendimento e, mesmo, inimizade entre réu e vítima, estará excluída aquela qualificadora, na sua estrita conceituação legal" (TJSP - AC - Rel. GOULART SOBRINHO - RT, 549/315). - Por todo o exposto, dou provimento parcial ao recurso apenas para decotar a qualificadora do motivo fútil, estabelecendo a capitulação do crime no art. 121, parágrafo 2º, IV, do CP, a fim de que o recorrente seja submetido a julgamento pelo Júri Popular. Ac. de 05-04-1994 Jurisprudência Mineira - Abril à Setembro de 1994 - Vols 126/127 - Pág. 366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excluída a qualificadora de motivo fútil quando entre réu e vítima houver animosidade, desentendimento ou mesmo inimizade, ainda que não tenha havido discussão entre eles, pouco antes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2026-10-26T02:17:42.154Z</dcterms:created>
  <dcterms:modified xsi:type="dcterms:W3CDTF">2026-10-26T02:17:42.154Z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