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/>
    <w:p>
      <w:r>
        <w:t xml:space="preserve">ACUSADO E VÍTIMA VIVENDO COM  FREQÜENTES DISCUSSÕES E AGRESSÕES — DESCONFIGURAÇÃO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Essa mesma circunstância, repele a outra, qualificadora da supressa, cabendo aqui, relembrar acórdão relatado por este mesmo Relator e referido pela decisão recorrida: "Vivendo acusado e vítima as turras, com freqüentes discussões e agressões, não se configura, no caso de homicídio, a qualificadora da surpresa, por se tratar, nas circunstâncias, de evento previsíveis" (RT 576/343). Ac. de 06-08-1990 Revista dos Tribunais - Set. de 1991 - Vol. 671 - Pág. 298.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Vivendo acusado e vítima do homicídio as turras, com freqüentes discussões e agressões. Não se configura a qualificadora da surpresa, por se tratar de evento previsível, devendo a circunstância ser excluída da sentença de pronúncia.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2026-10-26T02:25:42.175Z</dcterms:created>
  <dcterms:modified xsi:type="dcterms:W3CDTF">2026-10-26T02:25:42.175Z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