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/>
    <w:p>
      <w:r>
        <w:t xml:space="preserve">ACUSADO E VÍTIMA VIVENDO COM  FREQÜENTES DISCUSSÕES E AGRESSÕES — DESCONFIGURAÇÃO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mesma circunstância, repele a outra, qualificadora da supressa, cabendo aqui, relembrar acórdão relatado por este mesmo Relator e referido pela decisão recorrida: "Vivendo acusado e vítima as turras, com freqüentes discussões e agressões, não se configura, no caso de homicídio, a qualificadora da surpresa, por se tratar, nas circunstâncias, de evento previsíveis" (RT 576/343). Ac. de 06-08-1990 Revista dos Tribunais - Set. de 1991 - Vol. 671 - Pág. 298.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Vivendo acusado e vítima do homicídio as turras, com freqüentes discussões e agressões. Não se configura a qualificadora da surpresa, por se tratar de evento previsível, devendo a circunstância ser excluída da sentença de pronúncia.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2026-07-28T00:51:43.163Z</dcterms:created>
  <dcterms:modified xsi:type="dcterms:W3CDTF">2026-07-28T00:51:43.163Z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