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RE 45.616</w:t>
      </w:r>
    </w:p>
    <w:p/>
    <w:p>
      <w:r>
        <w:t xml:space="preserve">REGIME DE MANUTENÇÃO DE SALÁRIO — EXCLUSÃO DAQUELA - SUBSISTÊNCIA POREM DO DIREITO AO BENEFÍCIO PREVIDENCIÁRIO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regime de manutenção de salário, aplicável ao IAPM e ao IAPETC, exclui a indenização tarifada na Lei de Acidentes do Trabalho, mas não o benefício previdenciário. Referência: Dec.-Lei nº 7.036, de 10.11.44, art. 76, b; Decreto nº 18.809, de 05.06.45, art. 9º, §§ 3º e 4º; Decreto nº 44.710, de 20.10.58, art. 1º e §§ 1º e 2º, e art. 9º; ERE 45.616, de 28.09.62 (D.J. de 20.12.62, p. 861); RE 49.334, de 16.08.63 (D.J. de 14.11.63, p. 1.163); RE 49.051, de 12.07.62 (D.J. de 20.08.62, p. 2.237) RE 48.046, de 10.08.62. Sessão de 01-10-1964 DJ, nº 189, de 8 de outubro de 1964 - Adendo nº 3 - pág. 3.647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2026-06-17T13:58:34.320Z</dcterms:created>
  <dcterms:modified xsi:type="dcterms:W3CDTF">2026-06-17T13:58:34.320Z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