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DEMORA NA CONCLUSÃO DE INQUÉRITO</w:t>
      </w:r>
    </w:p>
    <w:p/>
    <w:p/>
    <w:p>
      <w:r>
        <w:t xml:space="preserve">PEDIDO DO PROMOTOR DE JUSTIÇA — DENÚNCIA OFERECIDA POR OUTRO PROMOTOR - RECEBIMENTO PELO JUIZ -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óbvio que o MM. Juiz ao decidir como o fez, inacolheu o pedido de arquivamento mas, ao invés de, então, remeter as peças da sindicância ou peças de informação ao Procurador-Geral, para que este oferecesse denúncia, ou designasse outro órgão do Ministério Público para oferecê-la, ou insistir no arquivamento (art. 28 do Código de Processo Civil), preferiu receber a denúncia por outro Promotor, com total quebra da processualística penal prevista para a hipótese. Ac. de 26-06-1987 Revista Trimestral de Jurisprudência - Março de 1988 - Vol. 123 - Pág. 937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"Habeas Corpus" para que se anule a denúncia e, em conseqüência, o seu recebimento, se é certo que o Promotor de Justiça que funcionou inicialmente no processo pediu o arquivamento do inquérito, pelo que não poderia o Juiz receber denúncia a seguir oferecida por outro Promotor, pois o que lhe caberia, ante o pedido de arquivamento era proceder na conformidade do disposto no art. 28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2026-10-26T06:02:19.833Z</dcterms:created>
  <dcterms:modified xsi:type="dcterms:W3CDTF">2026-10-26T06:02:19.833Z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