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HABEAS CORPUS PREVENTIVO</w:t>
      </w:r>
    </w:p>
    <w:p/>
    <w:p/>
    <w:p>
      <w:r>
        <w:t xml:space="preserve">PEÇA INFORMATIVA — SE EVENTUAIS VÍCIOS ATINGEM A AÇÃO PENAL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Alega o impetrante e paciente a ocorrência de vícios no auto de prisão em flagrante que tornaria nulo não só o inquérito policial como o subsequente processo criminal. - É de reconhecer-se a nulidade do auto de prisão em flagrante visto que o paciente, embora menor de 21 anos, não foi assistido por curador. - Mas, a nulidade que macula o inquérito policial não tem o mesmo efeito em relação ao processo penal. O processo-crime não pode ser tido como continuação do inquérito policial. São procedimentos distintos, de características diferentes e de naturezas diversas. O inquérito policial nem mesmo é indispensável à propositura da ação penal. Ac. de 15-01-1992 Revista dos Tribunais - Novembro de 1992 - Vol. 685 - Pág. 324 EMFOR 538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nulidade que macula o inquérito policial não tem o mesmo efeito em relação ao processo penal. O processo-crime não pode ser tido como continuação do inquérito policial nem mesmo é indispensável à propositura da ação penal.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2026-10-26T05:21:23.143Z</dcterms:created>
  <dcterms:modified xsi:type="dcterms:W3CDTF">2026-10-26T05:21:23.143Z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