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INTERROGATÓRIO</w:t>
      </w:r>
    </w:p>
    <w:p>
      <w:r>
        <w:rPr>
          <w:i/>
          <w:iCs/>
          <w:color w:val="666666"/>
        </w:rPr>
        <w:t xml:space="preserve">CONTATO PRÉVIO ENTRE RÉU E DEFENSOR</w:t>
      </w:r>
    </w:p>
    <w:p/>
    <w:p>
      <w:r>
        <w:rPr>
          <w:b/>
          <w:bCs/>
        </w:rPr>
        <w:t xml:space="preserve">Recurso: </w:t>
      </w:r>
      <w:r>
        <w:t xml:space="preserve">RE 104.623-</w:t>
      </w:r>
    </w:p>
    <w:p/>
    <w:p>
      <w:r>
        <w:t xml:space="preserve">NOME DO ADVOGADO PUBLICADO  INCORRETAMENTE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publicação incorreta passou a ser feita logo após a entrada dos autos na Secretaria do Tribunal de Justiça. Quer dizer, as intimações da pauta de julgamento e das conclusões do ACÓRDÃO foram publicadas, bem registra o ilustre Subprocurador-Geral EDSON OLIVEIRA DE ALMEIDA, no parecer de ..., com incorreção. - Em caso semelhante, RE nº 104.623-RJ, Relator o Sr. Ministro FRANCISCO REZEK (RTJ 113/1400), decidiu esta Turma: "Intimação. Nome do patrono do réu publicado incorretamente. Tanto o advogado como o seu cliente têm o direito de ver corretamente impresso o nome daquele nas publicações de intimação, sob pena de prejuízo para o correto exercício da profissão do causídico e para a garantia da ampla defesa do réu. - Recurso Extraordinário não conhecido por defeitos técnicos. - Ordem de habeas corpus deferida de ofício. - No mesmo sentido: HC nº 64.267-SP, Relator o Sr. Ministro OSCAR CORRÊA (DJ 10-10-1986). - Do exposto, defiro a ordem para o fim de anular o v. ACÓRDÃO. Ac. de 22-09-1992 Rev. Trim. de Jurisprudência - Abril de 1993 - Vol. 144 - Pág. 290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Nulidade do julgamento da apelação, por incorreta publicação do nome do patrono: incorreção que prejudicou a defesa do paciente.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2026-10-26T03:19:49.806Z</dcterms:created>
  <dcterms:modified xsi:type="dcterms:W3CDTF">2026-10-26T03:19:49.806Z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