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Julgado em: </w:t>
      </w:r>
      <w:r>
        <w:t xml:space="preserve">13/12/1983</w:t>
      </w:r>
    </w:p>
    <w:p/>
    <w:p>
      <w:r>
        <w:t xml:space="preserve">DECURSO DO PRAZO DO EDITAL E DO RECURSO — TRÂNSITO EM JULGADO INDEPENDENTEMENTE DE INTIMAÇÃO AO DEFENSOR DATIVO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Pois bem. Com quanto recebido o recurso de apelação ele o foi, d.v., indevidamente. Com efeito. A sentença condenatória foi intimada por via edital. Com o prazo de noventa dias. Decorridos este prazo e "mais o de cindo dias", nenhum recurso foi manifestado. Por isso, a decisão transitou em julgado, independentemente de intimação ao defensor dativo. É essa a inteligência que se extrai do art. 392, nº VI, do Cód. Proc. Penal: - "A intimação da sentença será feita: ... VI - mediante edital, se o réu, não tendo constituído defensor, não for encontrado e assim o certificar o Oficial de Justiça". - Como se vê, linguagem desenganada, acolhida pelo mais alto Colégio Judiciário do País. - Com efeito, o Augusto Pretório tem assim decidido um ror de vezes. - "Intimação. Sentença condenatória. A intimação da sentença condenatória a réu revel, defendido por defensor dativo, faz-se por edital. Desnecessidade de intimação ao defensor dativo, Recurso Extraordinário criminal conhecido e provido". ("RTJ", vol. 80, pág. 885). - Nesse mesmo sentido, consultem-se ainda as seguintes decisões do Pretório excelso: "RTJ", vol. 90, pág. 1.065; vol. 72, pág. 910; vol. 81, pág. 947; vol. 84, pág. 428; vol. 80, pág. 606; Rev. dos Tribs", vol. 538, pág. 411. - Nessas condições, quando o réu, preso, entendeu de apelar, - a decisão já havia transitado em julgado, fazia cinco meses. Por isso não conheço do recurso. Assim, a nulidade de processo, por vício de citação, só pode ser na sede revisional. Julgado em 14-12-1983 Jurisprudência Mineira. Janeiro a Dezembro, 1984 - Vol. 90 - Pág. 326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sentença condenatória intimada por via edital, com o prazo de noventa dias, decorrido esse prazo, e mais o de cinco dias, nenhum recurso tendo sido interposto, transitar em julgado a sentença, independentemente de intimação ao defensor dativo.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2026-10-26T04:55:01.521Z</dcterms:created>
  <dcterms:modified xsi:type="dcterms:W3CDTF">2026-10-26T04:55:01.521Z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