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LOCAÇÃO COMERCIAL</w:t>
      </w:r>
    </w:p>
    <w:p>
      <w:r>
        <w:rPr>
          <w:i/>
          <w:iCs/>
          <w:color w:val="666666"/>
        </w:rPr>
        <w:t xml:space="preserve">RETOMADA PARA USO DE DESCENDENTE</w:t>
      </w:r>
    </w:p>
    <w:p/>
    <w:p/>
    <w:p>
      <w:r>
        <w:t xml:space="preserve">BENEFICIÁRIO QUE PRETENDE MATRICULAR-SE EM CURSO DE PÓS-GRADUAÇÃO — ADMISSIBILIDADE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Possibilidade de deferir-se a retomada para o beneficiário que residindo na companhia dos pais noutra localidade pretende matricular-se em curso de pós-graduação na localidade do imóvel retomando. RESUMO DO ACÓRDÃO; - Verifica-se dos autos que o beneficiário da retomada residirá no imóvel retomando enquanto estiver atendendo ao curso de pós-graduação sendo este motivo mais que justificável para a retomada. - Negar a retomada como entendeu o ilustre Juiz CARLOS RICARDO CHILETTO, relator do voto vencido de ..., seria impossibilitar a matrícula do beneficiário da retomada no referido curso em reais prejuízos para a sua formação. Ac. de 19-09-1989 Arquivo do EMFOR - TA/2.256 EMFOR 540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2026-07-28T01:43:54.291Z</dcterms:created>
  <dcterms:modified xsi:type="dcterms:W3CDTF">2026-07-28T01:43:54.291Z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