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INQUÉRITO POLICIAL</w:t>
      </w:r>
    </w:p>
    <w:p/>
    <w:p/>
    <w:p>
      <w:r>
        <w:t xml:space="preserve">NOVA AÇÃO POR AUTORIA INTELECTUAL —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que se pretende, na presente impetração, como está dito na inicial, é que não é lícito mandar o paciente a novo julgamento, por crime de homicídio, após o trânsito em julgado da decisão que o absolveu do mesmo crime, pela negativa de autoria "Seguramente", conclui a impetração, &lt;&lt;cristalizou-se a categoria processual da coisa julgada que, via da demonstração feita, não pode ser modificada por força do aceitamento jurídico do mesmo fato (fato principal é a morte dada em homicídio à vítima), sobretudo porque não há distinguir entre autor, co-autor e cúmplice, na linha da concepção unitária adotada pelo direito brasileiro&gt;&gt;. - É que o paciente respondeu, sozinho, a processo-crime como autor de homicídio, e veio a ser absolvido em razão do veredicto do Tribunal do Júri que respondeu negativamente o primeiro dos quesitos formulados, a saber se fora ele que, na data e lugar referidos, utilizando uma espingarda (cartucheira) desferiu um disparo na vítima, causando-lhe os ferimentos descritos no auto de necropsia, com que, de conseguinte, ficaram prejudicados os demais quesitos. - Ora, pelo mesmo fato, moveu-se, posteriormente àquele julgado, ação penal, que veio a consubstanciar-se em decreto de pronúncia, contra um terceiro e contra o paciente, àquele se imputando a autoria material do homicídio, no modo de execução anteriormente, e a este a autoria intelectual, como mandante. - Questiona-se se tem aplicação à hipótese o art. 110, § 2º, do Código de Processo Penal, no dizer que a exceção de coisa julgada somente poderá ser oposta em relação ao fato principal, que tiver sido objeto da sentença. - Obviamente, a coisa julgada material que se formou relativamente ao fato delituoso que foi objeto de decisão do júri, não contém eficácia negativa a impedir que se instaure a ação penal contra o terceiro que não foi sujeito passivo na lide anterior, inocorrente, portanto, a identidade de parte, ainda que o fato que se lhe imputa tenha sido exatamente o mesmo, ou seja, a mesma causa de pedir, sendo irrelevante à configuração da coisa julgada criminal o pedido, expresso igualmente, em todo caso, como uma demanda de aplicação da pena. - Resta saber se a mesma decisão trânsita em julgado absolutória do paciente, é impeditiva de que este responda criminalmente, não mais como autor material do crime de homicídio, como fora objeto do veredicto, mas como autor intelectual e, portanto, partícipe nele. - Importa verificar, para os efeitos do dispositivo processual, se com relação ao paciente, há identidade entre o fato principal que foi objeto da sentença absolutória e o que ora se lhe imputa, de modo a opor-se à persecução penal o dogma do "ne bis in idem sit actio". - Diz-nos FREDERICO MARQUES que surge o "bis in idem" &lt;&lt; quando se instaura nova persecução penal a respeito do fato delituoso que foi objeto de ação penal anteriormente decidida em sentença tornada imutável pela coisa julgada&gt;&gt;, e que, &lt;&lt;sob o ângulo objetivo, é a imputação, ou "causa petendi", o que individualiza a ação penal e a acusação, o litígio penal e a "res in judicium deducta"&gt;&gt; (in Elementos de Direito Processual Penal, III/95/96). - Ora, essa identidade de causa, que supõe o mesmo fato, inexiste, se se tem em conta o estrito limite de ação delitiva que o julgamento absolutório teve em mira, na posição de autor material do crime e realizador do próprio tipo criminal em causa, em face da nova imputação de participação no mesmo crime, mas que foi executado por outrem, o que significa uma outra conduta que não aquela anteriormente apreciada. - O insigne GIOVANNI LEONE, ao pro pósito do conceito do direito italiano, inspirador do nosso, e a respeito da identidade fato, no juízo de relação entre o primeiro processo decidido e o segundo, repudiando a concepção naturalística, assegura, em definitivo que &lt;&lt;a "eadem res" no penal está constituída somente pela conduta (ação ou omissão) imputada, e acerca da qual se julgou&gt;&gt;, e traz à colação julgado da Corte de Cassação, de que vale transcrever, por sua pertinência, esse tópico (traduzido): &lt;&lt;Há identidade dos fatos quando haja completa identidade cronológica e material entre os elementos que constituem a ação que se imputa aos agentes no procedimento a respeito do qual intervém a coisa julgada, e os elementos que constituem o fato imputado à mesma pessoa no procedimento que se quer indiciar depois. - Basta que um só elemento seja diferente para que não se possa falar de um mesmo fato, mas de fatos diferentes&gt;&gt;. (in Tratad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absolvição, pelo júri, da imputação de autoria material do crime de homicídio, não faz coisa julgada impeditiva de o paciente responder em nova ação penal como participante, por autoria intelectual, do mesmo crime cuja autoria material é imputada a outrem.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2026-07-27T23:59:55.724Z</dcterms:created>
  <dcterms:modified xsi:type="dcterms:W3CDTF">2026-07-27T23:59:55.724Z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