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LOCAÇÃO COMERCIAL</w:t>
      </w:r>
    </w:p>
    <w:p>
      <w:r>
        <w:rPr>
          <w:i/>
          <w:iCs/>
          <w:color w:val="666666"/>
        </w:rPr>
        <w:t xml:space="preserve">RETOMADA PARA USO DE DESCENDENTE</w:t>
      </w:r>
    </w:p>
    <w:p/>
    <w:p>
      <w:r>
        <w:rPr>
          <w:b/>
          <w:bCs/>
        </w:rPr>
        <w:t xml:space="preserve">Recurso: </w:t>
      </w:r>
      <w:r>
        <w:t xml:space="preserve">RE 64.361</w:t>
      </w:r>
    </w:p>
    <w:p/>
    <w:p>
      <w:r>
        <w:t xml:space="preserve">SE É LEGÍTIMA QUANDO SOLTEIRO ESTE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Pode, legitimamente, o proprietário pedir o prédio para a residência de filho, ainda que solteiro, de acordo com o artigo 11, III, da Lei nº 4.494, de 25.11.64. Referência: Lei nº 4.494, de 25.11.64, artigo 11, III (D.O. de 30.11.64) RE 64.361, de 18.06.68 (R.T.J. 46/785); RE 675, de 01.12.67 (R.T.J. 44/775). Ag 41.043, de 19.09.67. Sessão de 3-12-1969 DJ, 1969 - Dezembro - Pág. 5.946 - nº 235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2026-10-26T05:59:19.066Z</dcterms:created>
  <dcterms:modified xsi:type="dcterms:W3CDTF">2026-10-26T05:59:19.066Z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