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RE 64.361</w:t>
      </w:r>
    </w:p>
    <w:p/>
    <w:p>
      <w:r>
        <w:t xml:space="preserve">SE É LEGÍTIMA QUANDO SOLTEIRO ESTE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Pode, legitimamente, o proprietário pedir o prédio para a residência de filho, ainda que solteiro, de acordo com o artigo 11, III, da Lei nº 4.494, de 25.11.64. Referência: Lei nº 4.494, de 25.11.64, artigo 11, III (D.O. de 30.11.64) RE 64.361, de 18.06.68 (R.T.J. 46/785); RE 675, de 01.12.67 (R.T.J. 44/775). Ag 41.043, de 19.09.67. Sessão de 3-12-1969 DJ, 1969 - Dezembro - Pág. 5.946 -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2026-07-27T23:54:01.273Z</dcterms:created>
  <dcterms:modified xsi:type="dcterms:W3CDTF">2026-07-27T23:54:01.273Z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