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TENTATIVA DE HOMICÍDIO</w:t>
      </w:r>
    </w:p>
    <w:p/>
    <w:p/>
    <w:p>
      <w:r>
        <w:t xml:space="preserve">DECISÃO TRANSITADA EM JULGADO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sua conhecida monografia, HERMíNIO ALBERTO MARQUES PORTO consigna, com precisão: "Transitando em julgado a decisão desclassificatória, passa a ser matéria preclusa a classificação originária que foi proposta pela denúncia ou pela queixa, classificação, então, não mais restaurável" ("Júri" Ed. RT, 4ª ed., pág. 60). - Ante o exposto, considerando que não pode ser conhecido conflito de competência (ou de jurisdição) diante de uma decisão transitada em julgado (RT 491/292), não conhecem do presente conflito. Ac. de 18-05-1989 Revista dos Tribunais - Junho de 1989 - Vol. 644 - Pág. 256.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Transitada em julgado para ambas as partes a decisão desclassificatória do juiz da Vara do Júri, passa a ser matéria preclusa a classificação originária proposta pela denúncia ou queixa, classificação, então mais restaurável, inviabilizada a instauração de conflito de jurisdição diante de decisão transitada em julgado, que, portanto, não pode ser conhecido.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2026-07-27T23:46:39.599Z</dcterms:created>
  <dcterms:modified xsi:type="dcterms:W3CDTF">2026-07-27T23:46:39.599Z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