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13/03/1985</w:t>
      </w:r>
    </w:p>
    <w:p/>
    <w:p>
      <w:r>
        <w:t xml:space="preserve">CAUTELAS INDISPENSÁVEIS QUE DEVEM PROCEDER O SEU USO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certo que há jurisprudência no sentido que a gravação sonorizada pode ser usada no Júri, desde que notificada com oportunidade a parte contrária ("Revista dos Tribunais", volume 522/360). Todavia, para que tal ocorra, o seu uso deve ser precedido de indispensáveis cautelas, para que, não só a outra parte como também os Jurados não sejam colhidos de surpresa, diante da possibilidade dos Juízes de fato serem induzidos em erro na avaliação de uma prova dessa natureza. - Tanto isso é certo que o projeto de nova legislação processual penal estabelece que o conteúdo da gravação deve ser juntado aos autos por transcrição, ensejando-se às partes requererem a sua conferência na sua presença, em prazo assinalado. - Diante do exposto, dou provimento a apelação. Julgado em 14-03-1985 Jurisprudência Mineira. Vol. 91 - Pág. 437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Permite-se o uso de gravação sonorizada no Júri, desde que anteriormente notificada a parte contrária e, devendo o seu uso ser precedido de cautelas indispensáveis, para que a parte adversa e também os jurados não sejam colhidos de surpresa diante da possibilidade dos Juízes de fato serem induzidos a erro na avaliação de uma prova dessa natureza.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2026-07-28T06:58:45.337Z</dcterms:created>
  <dcterms:modified xsi:type="dcterms:W3CDTF">2026-07-28T06:58:45.337Z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