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Relator: </w:t>
      </w:r>
      <w:r>
        <w:t xml:space="preserve">AYRES GAMA</w:t>
      </w:r>
    </w:p>
    <w:p/>
    <w:p>
      <w:r>
        <w:t xml:space="preserve">OCORRÊNCIA APÓS A PRONÚNCIA — QUANDO DEVE SER ARGUIDA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Órgão Ministerial em suas contra-razões levanta a preliminar da nulidade do feito a partir do oferecimento do libelo crime acusatório em virtude do mesmo estar em desacordo com o art. 417 do CPP. - Não tem razão o Órgão Ministerial. - A oportunidade para se arguir nulidades que teriam ocorrido posteriormente à pronúncia é a estabelecida no art. 571, I, do CPP, ou seja, tão logo se anuncie o julgamento e se apregoem as partes sob pena de serem havidas como sanadas. - O Tribunal de Justiça de Santa Catarina tem decidido: &lt;&lt;Júri. Nulidades ocorridas posteriormente à pronúncia. Oportunidade para arguí-las. Aplicação do art. 571, V, do CPP&gt;&gt;. - Consoante orientação do Excelso Pretório, nos processos de competência do Tribunal do Júri, as nulidades que ocorrem após a pronúncia deverão ser arguidas logo depois de anunciado o julgamento e apregoadas as partes. - Caso não alegadas nessa oportunidade, serão havidas como sanadas. (JC 44/419, Rel. Des. AYRES GAMA). Ac. de 03-09-1987 Jurisprudência Catarinense, 1987 - Nº 57 - Pág. 302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orientação do Excelso Pretório, nos processos de competência do Tribunal do Júri, as nulidades que ocorrem após a pronúncia deverão ser arguidas logo depois de anunciado o julgamento e apregoadas as partes. Caso não alegadas nessa oportunidade, serão havidas como sanadas - JC 44/419.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2026-07-28T02:22:07.634Z</dcterms:created>
  <dcterms:modified xsi:type="dcterms:W3CDTF">2026-07-28T02:22:07.634Z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