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Relator: </w:t>
      </w:r>
      <w:r>
        <w:t xml:space="preserve">AYRES GAMA</w:t>
      </w:r>
    </w:p>
    <w:p/>
    <w:p>
      <w:r>
        <w:t xml:space="preserve">OCORRÊNCIA APÓS A PRONÚNCIA — QUANDO DEVE SER ARGUIDA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Órgão Ministerial em suas contra-razões levanta a preliminar da nulidade do feito a partir do oferecimento do libelo crime acusatório em virtude do mesmo estar em desacordo com o art. 417 do CPP. - Não tem razão o Órgão Ministerial. - A oportunidade para se arguir nulidades que teriam ocorrido posteriormente à pronúncia é a estabelecida no art. 571, I, do CPP, ou seja, tão logo se anuncie o julgamento e se apregoem as partes sob pena de serem havidas como sanadas. - O Tribunal de Justiça de Santa Catarina tem decidido: &lt;&lt;Júri. Nulidades ocorridas posteriormente à pronúncia. Oportunidade para arguí-las. Aplicação do art. 571, V, do CPP&gt;&gt;. - Consoante orientação do Excelso Pretório, nos processos de competência do Tribunal do Júri, as nulidades que ocorrem após a pronúncia deverão ser arguidas logo depois de anunciado o julgamento e apregoadas as partes. - Caso não alegadas nessa oportunidade, serão havidas como sanadas. (JC 44/419, Rel. Des. AYRES GAMA). Ac. de 03-09-1987 Jurisprudência Catarinense, 1987 - Nº 57 - Pág. 302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orientação do Excelso Pretório, nos processos de competência do Tribunal do Júri, as nulidades que ocorrem após a pronúncia deverão ser arguidas logo depois de anunciado o julgamento e apregoadas as partes. Caso não alegadas nessa oportunidade, serão havidas como sanadas - JC 44/419.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2026-10-26T03:41:33.832Z</dcterms:created>
  <dcterms:modified xsi:type="dcterms:W3CDTF">2026-10-26T03:41:33.832Z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