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QUALIFICADO-PRIVILEGIADO</w:t>
      </w:r>
    </w:p>
    <w:p/>
    <w:p/>
    <w:p>
      <w:r>
        <w:t xml:space="preserve">DEFICIÊNCIA NÃO ARGUIDA OPORTUNAMENTE — QUANDO NÃO HÁ PRECLUSÃO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Conquanto muitos julgados proclamem que a nulidade decorrente da deficiência e contradição de quesitos sana-se por falta de oportuna arguição, não se deve ignorar que o parágrafo único do art. 564, do Código de Processo Penal, não se insere no art. 572 do aludido Codex, que se refere ao inc. IV da disposição citada, e não ao parágrafo único da mesma, razão pela qual já se decidiu que "a matéria referente aos quesitos não preclui ainda que não arguida logo após o julgamento, por se tratar de nulidade absoluta" (RJTJRGS, 65/109). Ac. de 25-08-1988 Jurisprudência Mineira - Abril a Setembro de 1988 - Vols. 102/103 - Pág. 339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constituir nulidade absoluta, a matéria referente aos quesitos não preclui, ainda que não tenha sido arguida oportunamente. Assim, verificada a existência de deficiências dos quesitos e respostas contraditórias dadas a muitos deles, é de se anular 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2026-07-28T02:01:29.612Z</dcterms:created>
  <dcterms:modified xsi:type="dcterms:W3CDTF">2026-07-28T02:01:29.612Z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