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/>
    <w:p>
      <w:r>
        <w:t xml:space="preserve">SE É OBRIGATÓRIA A PRESENÇA DO RÉU EM FACE DA GARANTIA CONSTITUCIONAL DO DIREITO AO SILÊNCIO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entendo, após a Constituição de 1988, dado ser direito do réu silenciar, não faz sentido, continuar exigir a sua presença na sessão do Tribunal do Júri. Ausente, significa não desejar, de viva voz, dar a sua versão dos fatos. - Por fim, o réu não precisa colaborar com o MP. Arrosta, sem dúvida, as consequências da omissão. Ac. de 02-08-1994 DJU de 10-10-1994 Revista dos Tribunais - Dezembro de 1994 - Vol. 710 - Pág. 344 EMFOR 560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da República de 1988 consagra ser direito do réu silenciar. Em decorrência, não o desejando, embora devidamente intimado, não precisa comparecer à sessão do Tribunal do Júri. Este, por isso, pode funcionar normalmente. Conclusão que se amolda aos princípios da verdade real e não compactua com a malícia do acusado de evitar 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2026-07-28T00:35:41.783Z</dcterms:created>
  <dcterms:modified xsi:type="dcterms:W3CDTF">2026-07-28T00:35:41.783Z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