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LATROCÍNIO E OCULTAÇÃO DE CADÁVER</w:t>
      </w:r>
    </w:p>
    <w:p/>
    <w:p/>
    <w:p>
      <w:r>
        <w:t xml:space="preserve">CASO EM QUE SE LEGITIMA A  CONDENAÇÃO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Ressalve-se, bem da verdade, que, em casos tais, vem entendendo certa corrente doutrinária com encampação jurisprudencial, deva ser o agente, por conveniência de natureza político-criminal, absolvido - é a defesa do princípio de conservação da família - contudo estas razões "deixam de prevalecer quando a infração contra o cônjuge se reveste de certa intensidade e repercussão" (RT 434/403), circunstâncias que emergem induvidosamente dos autos, bastando a leitura do laudo técnico onde se vislumbram contusões generalizadas por corpo da vítima. - ....................................................................... - Destarte, nada a legitimar a ação do agente ativo, nem mesmo sua suspeita de adultério praticado pela mulher, posto que "Honra é atributo pessoal, independente de ato de terceiro, donde impossível levar em consideração ser um homem desonrado porque sua mulher é infiel. A simples invocação de infidelidade não dá direito ao cônjuge traído executar a seu bel prazer a pena de morte. A lei e a moral não permitem que a mulher prevarique. Mas negar-lhe, por isso, o direito de viver, seria um requinte de impiedade" (RT 473/372). Ac. de 08-06-1989 Jurisprudência Catarinense - 2º Trimestre de 1989 - Vol. 64 - Pág. 320. EMFOR 521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a infração contra o cônjuge se reveste de grande intensidade e repercussão não há se falar em razões de conveniência de natureza político-criminal a desautorizarem a prolação de um decreto condenatório.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2026-07-28T00:13:25.622Z</dcterms:created>
  <dcterms:modified xsi:type="dcterms:W3CDTF">2026-07-28T00:13:25.622Z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