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JUIZADO ESPECIAL</w:t>
      </w:r>
    </w:p>
    <w:p>
      <w:r>
        <w:rPr>
          <w:i/>
          <w:iCs/>
          <w:color w:val="666666"/>
        </w:rPr>
        <w:t xml:space="preserve">LEI 9.099 DE 26-09-1995</w:t>
      </w:r>
    </w:p>
    <w:p/>
    <w:p/>
    <w:p>
      <w:r>
        <w:t xml:space="preserve">MOTORISTA ACOMETIDO DE MAL SÚBITO — QUANDO NÃO CONFIGURA CASO FORTUITO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acusado dirigia seu veículo, quando se chocou com um caminhão que se encontrava estacionado, regularmente, resultando do impacto lesões no rosto da vítima, que ia dentro do veículo. - Não ocorreu a prescrição. O apelante não considerou, na contagem do prazo, o recebimento da denúncia, como causa interruptiva da extinção da punibilidade. Rejeito a preliminar. - Segundo o BO, o acusado estava visivelmente embriagado, fato notado também pela testemunha ... . - O caso fortuito alegado não foi provado em nenhum momento. Simplesmente, as testemunhas que conhecem o réu, dizem-no portador de boa saúde. Ademais, o mal súbito somente constitui caso fortuito quando a doença não é conhecida do motorista. Sabendo ser portador da doença, torna-se imprudente ao dirigir veículo. - Os critérios do art. 59 do CP, relativos à pessoa do réu, são todos favoráveis a ele, pelo que dou provimento parcial ao apelo, para substituir a pena imposta por multa ... . Ac. de 25-05-1993 Revista dos Tribunais - Agosto de 1994 - Vol. 706 - Pág. 352 EMFOR 562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circunstância de o motorista ser acometido de mal súbito não configura caso fortuito se tem conhecimento da doença de que é portador, respondendo penalmente pelos danos decorrentes do acidente de trânsito a que deu causa, em face de sua conduta imprudente.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2026-10-26T04:58:48.091Z</dcterms:created>
  <dcterms:modified xsi:type="dcterms:W3CDTF">2026-10-26T04:58:48.091Z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