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Julgado em: </w:t>
      </w:r>
      <w:r>
        <w:t xml:space="preserve">17/11/1982</w:t>
      </w:r>
    </w:p>
    <w:p/>
    <w:p>
      <w:r>
        <w:t xml:space="preserve">PREVISIBILIDADE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figura do § 3º do CP, focaliza o caso de lesão corporal qualificada pelo resultado. A denúncia tipificando esse nessa modalidade delituosa e a sentença endossando-a, sem dúvida, agiram corretamente. O resultado morte aqui figura como condição de maior punibilidade e não como elemento do crime. Certo é que o resultado morte não foi jamais querido pelo réu, nem voluntariamente, mas era previsível que pudesse ocorrer como de fato ocorreu, não se podendo discutir a relação de causalidade entre o nexo existente da ilicitude injustificada de seu procedimento seguido este de lesão corporal dolosa seguida de involuntária morte. - Para a caracterização de semelhante delito NELSON HUNGRIA, "... não é necessário que se trate de fácil previsibilidade, que, aliás, pode ser até de prova indiciária de "voluntas occidendi". Basta que a superveniência do efeito legal não tenha sido incalculável ou se apresente como caso fortuito". ("Comentários ao CP", vol. V/356, 3ª ed., Ed. Forense). - Comprovada, assim a relação causal entre a agressão praticada pelo apelante e a morte de seu irmão, ora vítima, embora não haja querido ou mesmo previsto tal consequência letal, porém, previsível para o agente que assim procede, configurado ficou o delito de lesão corporal seguida de morte, justificando-se, pois, a condenação que lhe foi imposta. - Diante do exposto, nego-lhe provimento ... . Julgado em 18-11-1982 Jurisprudência Mineira. Outubro a Dezembro, 1982 - Vol. 88 - Pág. 298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tenha querido o resultado, mas sendo previsível que pudesse ocorrer, responde o agente por crime de lesões corporais, se comprovada a relação de causalidade entre a agressão e a morte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2026-10-26T03:52:29.815Z</dcterms:created>
  <dcterms:modified xsi:type="dcterms:W3CDTF">2026-10-26T03:52:29.815Z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