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LEI 9.099 DE 26-09-1995</w:t>
      </w:r>
    </w:p>
    <w:p/>
    <w:p>
      <w:r>
        <w:rPr>
          <w:b/>
          <w:bCs/>
        </w:rPr>
        <w:t xml:space="preserve">Julgado em: </w:t>
      </w:r>
      <w:r>
        <w:t xml:space="preserve">17/11/1982</w:t>
      </w:r>
    </w:p>
    <w:p/>
    <w:p>
      <w:r>
        <w:t xml:space="preserve">PREVISIBILIDADE — COMO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figura do § 3º do CP, focaliza o caso de lesão corporal qualificada pelo resultado. A denúncia tipificando esse nessa modalidade delituosa e a sentença endossando-a, sem dúvida, agiram corretamente. O resultado morte aqui figura como condição de maior punibilidade e não como elemento do crime. Certo é que o resultado morte não foi jamais querido pelo réu, nem voluntariamente, mas era previsível que pudesse ocorrer como de fato ocorreu, não se podendo discutir a relação de causalidade entre o nexo existente da ilicitude injustificada de seu procedimento seguido este de lesão corporal dolosa seguida de involuntária morte. - Para a caracterização de semelhante delito NELSON HUNGRIA, "... não é necessário que se trate de fácil previsibilidade, que, aliás, pode ser até de prova indiciária de "voluntas occidendi". Basta que a superveniência do efeito legal não tenha sido incalculável ou se apresente como caso fortuito". ("Comentários ao CP", vol. V/356, 3ª ed., Ed. Forense). - Comprovada, assim a relação causal entre a agressão praticada pelo apelante e a morte de seu irmão, ora vítima, embora não haja querido ou mesmo previsto tal consequência letal, porém, previsível para o agente que assim procede, configurado ficou o delito de lesão corporal seguida de morte, justificando-se, pois, a condenação que lhe foi imposta. - Diante do exposto, nego-lhe provimento ... . Julgado em 18-11-1982 Jurisprudência Mineira. Outubro a Dezembro, 1982 - Vol. 88 - Pág. 298 EMFOR 450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não tenha querido o resultado, mas sendo previsível que pudesse ocorrer, responde o agente por crime de lesões corporais, se comprovada a relação de causalidade entre a agressão e a morte da vítima.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2026-07-28T00:35:36.072Z</dcterms:created>
  <dcterms:modified xsi:type="dcterms:W3CDTF">2026-07-28T00:35:36.072Z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