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LEI 9.099 DE 26-09-1995</w:t>
      </w:r>
    </w:p>
    <w:p/>
    <w:p/>
    <w:p>
      <w:r>
        <w:t xml:space="preserve">EXCESSO DE PRAZO NO PROCESSAMENTO  DO RECURSO DO RÉU — QUANDO SE  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Nem mesmo a formal justificação feita pelo órgão do Ministério Público, ao baixar suas manifestações, comporta tolerância eis que, qualquer que fosse o acúmulo de trabalho, na comarca de Monte Alto, a prioridade que deveria merecer um feito com réu preventivamente preso, não lhe permitia a retenção dos autos pelo quádruplo do prazo legal. - Não dando cobro a retardos da serventia, ou do Parquet oficiante, ao impetrado foi validamente atribuída a coação. - Por estas razões, concedem a ordem, para deferir liberdade provisória ao paciente, expedindo-se em seu favor, alvará de soltura clausulado, após admonitória. Ac. de 06-03-1991 Revista dos Tribunais - Nov. de 1991 - Vol. 673 - Pág. 328.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justifica o excesso de prazo no processamento de recurso interposto por réu preso, o alegado acúmulo de trabalho do órgão do Ministério Público caracterizando tal demora, constrangimento ilegal.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2026-10-26T04:13:52.239Z</dcterms:created>
  <dcterms:modified xsi:type="dcterms:W3CDTF">2026-10-26T04:13:52.239Z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