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/>
    <w:p>
      <w:r>
        <w:t xml:space="preserve">BONS ANTECEDENTES — SE OS TEM O RÉU CONDENADO QUE TEVE EXTINTA A PUNIBILIDADE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extinção da punibilidade alcança, apenas, o direito de punir. Não apaga o crime nem desconstitui a decisão condenatória. Também não tem o condão de modificar a ficha de antecedentes do paciente. É da jurisprudência desta corte que a conduta do paciente pode ser aferida em face de condenação anterior, ainda que declarada extinta a punibilidade. No HC 62.029/9, relatado pelo Min. RAFAEL MAYER, DJU de 10-8-1984, foi decidido que: "Ementa: Benefício de apelar solto - Primariedade e bons antecedentes - Art. 594 do CPP. Para que faça jus o réu ao benefício do art. 594 do CPP, há de ter simultaneamente os atributos da primariedade e bons antecedentes. Não tem bons antecedentes o acusado que responde a inquéritos policiais e já sofreu condenação criminal, embora declarada extinta a punibilidade. Recurso de "habeas corpus" improvido". Ac. de 19-05-1992 DJ de 7-8-1992 Revista dos Tribunais - Fevereiro de 1993 - Vol. 688 - Pág. 397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benefício previsto no parágrafo 2º do art. 408 do CPP exige que o réu seja, simultaneamente, primário e de bons antecedentes. Não tem bons antecedentes o réu que sofreu condenação anterior embora extinta a punibilidade.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2026-07-27T22:57:37.746Z</dcterms:created>
  <dcterms:modified xsi:type="dcterms:W3CDTF">2026-07-27T22:57:37.746Z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