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LIBERDADE PROVISÓRIA</w:t>
      </w:r>
    </w:p>
    <w:p>
      <w:r>
        <w:rPr>
          <w:i/>
          <w:iCs/>
          <w:color w:val="666666"/>
        </w:rPr>
        <w:t xml:space="preserve">DESPACHO INDEFERITÓRIO</w:t>
      </w:r>
    </w:p>
    <w:p/>
    <w:p/>
    <w:p>
      <w:r>
        <w:t xml:space="preserve">BONS ANTECEDENTES — SE OS TEM O RÉU CONDENADO QUE TEVE EXTINTA A PUNIBILIDADE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extinção da punibilidade alcança, apenas, o direito de punir. Não apaga o crime nem desconstitui a decisão condenatória. Também não tem o condão de modificar a ficha de antecedentes do paciente. É da jurisprudência desta corte que a conduta do paciente pode ser aferida em face de condenação anterior, ainda que declarada extinta a punibilidade. No HC 62.029/9, relatado pelo Min. RAFAEL MAYER, DJU de 10-8-1984, foi decidido que: "Ementa: Benefício de apelar solto - Primariedade e bons antecedentes - Art. 594 do CPP. Para que faça jus o réu ao benefício do art. 594 do CPP, há de ter simultaneamente os atributos da primariedade e bons antecedentes. Não tem bons antecedentes o acusado que responde a inquéritos policiais e já sofreu condenação criminal, embora declarada extinta a punibilidade. Recurso de "habeas corpus" improvido". Ac. de 19-05-1992 DJ de 7-8-1992 Revista dos Tribunais - Fevereiro de 1993 - Vol. 688 - Pág. 397 EMFOR 555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benefício previsto no parágrafo 2º do art. 408 do CPP exige que o réu seja, simultaneamente, primário e de bons antecedentes. Não tem bons antecedentes o réu que sofreu condenação anterior embora extinta a punibilidade.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dos Tribunais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2026-10-26T03:22:12.056Z</dcterms:created>
  <dcterms:modified xsi:type="dcterms:W3CDTF">2026-10-26T03:22:12.056Z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