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INDEFERITÓRIO</w:t>
      </w:r>
    </w:p>
    <w:p/>
    <w:p/>
    <w:p>
      <w:r>
        <w:t xml:space="preserve">REQUISITOS PREENCHIDOS — DIREITO  PÚBLICO SUBJETIVO DO APENADO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segundo se infere dos autos ..., o próprio Ministério Público opinou pelo deferimento do livramento condicional, sustentando para o Juiz "a quo" que a fuga do agravado "não causou maiores danos à sociedade, tendo o mesmo inclusive, retornado espontaneamente à prisão, antes da chegada do mandado de prisão". Ademais, percorrendo o pedido todos os demais trâmites regulares, favoráveis foram os pronunciamentos no sentido da concessão do benefício. - Destarte, se o condenado preenche os requisitos fundamentais traçados pela lei, a ele deve ser concedido o benefício do livramento condicional, por se tratar de um direito público subjetivo do apenado, razão porque dilargar ou retardar o exame da sua justa pretensão seria aumentar-lhe desnecessariamente a frustração, a tensão carcerária e o descrédito em si mesmo e na Justiça. Ac. de 30-06-1993 Arquivo do EMFOR - TA/2.375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condenado preenche os requisitos fundamentais traçados pela lei, a ele deve ser concedido o benefício do livramento condicional, por se tratar de um direito público subjetivo do apenado.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2026-10-26T02:08:59.422Z</dcterms:created>
  <dcterms:modified xsi:type="dcterms:W3CDTF">2026-10-26T02:08:59.422Z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