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Recurso: </w:t>
      </w:r>
      <w:r>
        <w:t xml:space="preserve">habeas corpus 9.003</w:t>
      </w:r>
    </w:p>
    <w:p/>
    <w:p>
      <w:r>
        <w:t xml:space="preserve">QUANDO ESTA NÃO IMPEDE A SUA 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Ninguém será considerado culpado até o trânsito em julgado de sentença penal condenatória, proclama o inciso LVII, do artigo 5º, da Constituição da República. - Dito princípio, no entanto, e consoante já decidido por esta Câmara (vide, entre outros o ACÓRDÃO referente ao habeas corpus nº 9.003, da comarca de Campos Novos, julgada na sessão de 22 de julho do ano em curso), não impede a adoção de medidas cautelares contra a liberdade do réu. Ou, como afirmado por DAMÁSIO E. DE JESUS, "não atinge, pois, as medidas "cautelares", que o legislador ordinário ou o juiz entende necessária para a aplicação da lei penal, como a prisão em flagrante e a preventiva ("Código de Processo Penal Anotado", São Paulo, Editora Saraiva, 1989, 7ª ed., ampliada e atualizada de acordo com a Constituição de 1988, págs. 194 e 638). Ac. de 10-08-1989 Jurisprudência Catarinense - 3º e 4º Trimestres de 1989 - Vol. 65 - Pág. 324 N. da Red.: V. também a respeito da aplicação do preceito constitucional, o t. APELAÇÃO, st. RECOLHIMENTO À PRISÃO, e o t. SENTENÇA, st. ROL DOS CULPADOS.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presunção de inocência, hoje cânon constitucional (CF, art. 5º, inc. LVII), não impede a adoção de medidas cautelares contra a liberdade do réu, tal qual a prisão em flagrante.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2026-07-28T02:02:03.934Z</dcterms:created>
  <dcterms:modified xsi:type="dcterms:W3CDTF">2026-07-28T02:02:03.934Z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