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/>
    <w:p>
      <w:r>
        <w:t xml:space="preserve">CULPA EXCLUSIVA DA VÍTIMA — MEDIDA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meu sentir, merece reforma a r. decisão hostilizada, posto que do contexto probatório se infere que o atropelamento atribuído ao apelante decorreu de culpa exclusiva da vítima ..., razão pela qual não se justifica a imposição da medida de prestação de serviços à comunidade, porquanto a infração se restringiu à contravenção prevista no art. 32 da Lei das Contravenções Penais. - Na esteira do lúcido pensar da culta Procuradora de Justiça, Dra. MARIA ODETE SOUTO PEREIRA, também concluo "que, sendo a infração punível apenas em sanção pecuniária, transformá-la em prestação de serviços é rigorismo exagerado e severidade inaceitável, é punição injusta e manifestamente contrária à lei e ao bom senso" ... . - Destarte, dou provimento ao recurso, para o fim de aplicar ao apelante, tão-somente, a medida de advertência. Ac. de 08-02-1994 Jurisprudência Mineira - Abril à Setembro de 1994 - Vols. 126/127 - Pág. 374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provado nos autos que o atropelamento atribuído ao menor infrator decorreu de culpa exclusiva da vítima, não se justifica a imposição da medida de prestação de serviços à comunidade e sim a aplicação da medida de advertência, porquanto a infração se restringiu à contravenção prevista no art. 32 da Lei das Contravenções Penais, punível apenas em sanção pecuniária.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2026-10-26T05:55:22.192Z</dcterms:created>
  <dcterms:modified xsi:type="dcterms:W3CDTF">2026-10-26T05:55:22.192Z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