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/>
    <w:p>
      <w:r>
        <w:t xml:space="preserve">CULPA EXCLUSIVA DA VÍTIMA — MEDIDA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meu sentir, merece reforma a r. decisão hostilizada, posto que do contexto probatório se infere que o atropelamento atribuído ao apelante decorreu de culpa exclusiva da vítima ..., razão pela qual não se justifica a imposição da medida de prestação de serviços à comunidade, porquanto a infração se restringiu à contravenção prevista no art. 32 da Lei das Contravenções Penais. - Na esteira do lúcido pensar da culta Procuradora de Justiça, Dra. MARIA ODETE SOUTO PEREIRA, também concluo "que, sendo a infração punível apenas em sanção pecuniária, transformá-la em prestação de serviços é rigorismo exagerado e severidade inaceitável, é punição injusta e manifestamente contrária à lei e ao bom senso" ... . - Destarte, dou provimento ao recurso, para o fim de aplicar ao apelante, tão-somente, a medida de advertência. Ac. de 08-02-1994 Jurisprudência Mineira - Abril à Setembro de 1994 - Vols. 126/127 - Pág. 374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provado nos autos que o atropelamento atribuído ao menor infrator decorreu de culpa exclusiva da vítima, não se justifica a imposição da medida de prestação de serviços à comunidade e sim a aplicação da medida de advertência, porquanto a infração se restringiu à contravenção prevista no art. 32 da Lei das Contravenções Penais, punível apenas em sanção pecuniária.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2026-07-28T04:12:54.159Z</dcterms:created>
  <dcterms:modified xsi:type="dcterms:W3CDTF">2026-07-28T04:12:54.159Z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