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/>
    <w:p>
      <w:r>
        <w:t xml:space="preserve">DEFICIÊNCIA NA DEFESA — QUANDO NÃO ANULA 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penal, a falta da defesa constitui nulidade absoluta, mas a sua deficiência só o anulará se houver prova de prejuízo para o réu. Referência: Código de Processo Penal, arts. 563, 564, III e 564, III, c. HC 42.274, de 10.06.65 (R.T.J. 33/717) HC 43.501, de 22.08.66 (R.T.J. 38/581) HC 45.015, de 20.02.68 (D.J. de 26.04.68) HC 45.336, de 29.03.68 (D.J. de 04.10.68). Sessão de 3-12-1969 D.J., Dezembro, 1969 - pág. 5.949 - n. 235 EMFOR 255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2026-10-26T03:27:14.169Z</dcterms:created>
  <dcterms:modified xsi:type="dcterms:W3CDTF">2026-10-26T03:27:14.169Z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