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19/05/1983</w:t>
      </w:r>
    </w:p>
    <w:p/>
    <w:p>
      <w:r>
        <w:t xml:space="preserve">AUTORIA E MATERIALIDADE — QUANDO SE ENTENDEM PROVADAS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é revel e a denúncia está calcada na infringência aos artigos 171 e 312, do Código Penal, em concurso material (art. 51). - Segundo a prova, o réu, mediante ardil, induziu pessoas a assinar recibos e apropriou-se dos bens descritos - dinheiro e revistas - dos quais, em função do cargo, tinha posse. - Além da índole censurável de que se mostrou portador, o abandono do emprego deixa absolutamente claro o reconhecimento do ilícito que praticou e as conseqüências que lhe adviriam. - Por isso, nego provimento à apelação. - Trata-se, no entanto, no caso, de réu primário, sem maus antecedentes; tal considerando e, ainda, as circunstâncias que permitem presumir que não voltará a delinqüir, concedo-lhe o sursis, por dois anos, mediante as condições a serem estabelecidas pelo MM. Dr. Juiz, a quem ficam delegadas atribuições para realizar a audiência admonitória. Julgado em 20-05-1983 Revista do Tribunal Federal de Recursos, nº 135 - Pág. 265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Entendem-se provadas a autoria e a materialidade do crime de peculato, se o réu, mediante ardil, induziu pessoas a assinar recibos e apropriou-se dos bens descritos - dinheiro e revistas - dos quais, em função do cargo, tinha a posse.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2026-10-26T03:20:50.822Z</dcterms:created>
  <dcterms:modified xsi:type="dcterms:W3CDTF">2026-10-26T03:20:50.822Z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